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3CA1" w14:textId="2B606E33" w:rsidR="00E17C3E" w:rsidRPr="00993622" w:rsidRDefault="00E17C3E" w:rsidP="00993622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E17C3E">
        <w:rPr>
          <w:rFonts w:ascii="Arial" w:hAnsi="Arial" w:cs="Arial"/>
          <w:b/>
          <w:bCs/>
          <w:sz w:val="28"/>
          <w:szCs w:val="28"/>
        </w:rPr>
        <w:t xml:space="preserve">Češi přesouvají </w:t>
      </w:r>
      <w:r w:rsidR="004764B7">
        <w:rPr>
          <w:rFonts w:ascii="Arial" w:hAnsi="Arial" w:cs="Arial"/>
          <w:b/>
          <w:bCs/>
          <w:sz w:val="28"/>
          <w:szCs w:val="28"/>
        </w:rPr>
        <w:t xml:space="preserve">své finanční </w:t>
      </w:r>
      <w:r w:rsidRPr="00E17C3E">
        <w:rPr>
          <w:rFonts w:ascii="Arial" w:hAnsi="Arial" w:cs="Arial"/>
          <w:b/>
          <w:bCs/>
          <w:sz w:val="28"/>
          <w:szCs w:val="28"/>
        </w:rPr>
        <w:t>rezervy z</w:t>
      </w:r>
      <w:r w:rsidR="004764B7">
        <w:rPr>
          <w:rFonts w:ascii="Arial" w:hAnsi="Arial" w:cs="Arial"/>
          <w:b/>
          <w:bCs/>
          <w:sz w:val="28"/>
          <w:szCs w:val="28"/>
        </w:rPr>
        <w:t xml:space="preserve"> běžných a spořících </w:t>
      </w:r>
      <w:r w:rsidRPr="00E17C3E">
        <w:rPr>
          <w:rFonts w:ascii="Arial" w:hAnsi="Arial" w:cs="Arial"/>
          <w:b/>
          <w:bCs/>
          <w:sz w:val="28"/>
          <w:szCs w:val="28"/>
        </w:rPr>
        <w:t>účtů do investi</w:t>
      </w:r>
      <w:r w:rsidR="004764B7">
        <w:rPr>
          <w:rFonts w:ascii="Arial" w:hAnsi="Arial" w:cs="Arial"/>
          <w:b/>
          <w:bCs/>
          <w:sz w:val="28"/>
          <w:szCs w:val="28"/>
        </w:rPr>
        <w:t>čních produktů</w:t>
      </w:r>
      <w:r w:rsidRPr="00E17C3E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4776434" w14:textId="77777777" w:rsidR="00E17C3E" w:rsidRDefault="00E17C3E" w:rsidP="00E17C3E">
      <w:pPr>
        <w:spacing w:after="0"/>
        <w:rPr>
          <w:rFonts w:ascii="Arial" w:hAnsi="Arial" w:cs="Arial"/>
          <w:b/>
          <w:bCs/>
          <w:sz w:val="21"/>
          <w:szCs w:val="21"/>
        </w:rPr>
      </w:pPr>
    </w:p>
    <w:p w14:paraId="76DFBB77" w14:textId="34A5C5E3" w:rsidR="00ED196C" w:rsidRPr="001B7AA7" w:rsidRDefault="00ED196C" w:rsidP="00E17C3E">
      <w:pPr>
        <w:spacing w:after="0"/>
        <w:rPr>
          <w:rFonts w:ascii="Arial" w:hAnsi="Arial" w:cs="Arial"/>
          <w:sz w:val="21"/>
          <w:szCs w:val="21"/>
        </w:rPr>
      </w:pPr>
      <w:r w:rsidRPr="001B7AA7">
        <w:rPr>
          <w:rFonts w:ascii="Arial" w:hAnsi="Arial" w:cs="Arial"/>
          <w:b/>
          <w:bCs/>
          <w:sz w:val="21"/>
          <w:szCs w:val="21"/>
        </w:rPr>
        <w:t xml:space="preserve">Brno, </w:t>
      </w:r>
      <w:r w:rsidR="00336128">
        <w:rPr>
          <w:rFonts w:ascii="Arial" w:hAnsi="Arial" w:cs="Arial"/>
          <w:b/>
          <w:bCs/>
          <w:sz w:val="21"/>
          <w:szCs w:val="21"/>
        </w:rPr>
        <w:t>24</w:t>
      </w:r>
      <w:r w:rsidR="00F07703">
        <w:rPr>
          <w:rFonts w:ascii="Arial" w:hAnsi="Arial" w:cs="Arial"/>
          <w:b/>
          <w:bCs/>
          <w:sz w:val="21"/>
          <w:szCs w:val="21"/>
        </w:rPr>
        <w:t xml:space="preserve">. </w:t>
      </w:r>
      <w:r w:rsidR="006E6E4C">
        <w:rPr>
          <w:rFonts w:ascii="Arial" w:hAnsi="Arial" w:cs="Arial"/>
          <w:b/>
          <w:bCs/>
          <w:sz w:val="21"/>
          <w:szCs w:val="21"/>
        </w:rPr>
        <w:t>9</w:t>
      </w:r>
      <w:r w:rsidR="00373133">
        <w:rPr>
          <w:rFonts w:ascii="Arial" w:hAnsi="Arial" w:cs="Arial"/>
          <w:b/>
          <w:bCs/>
          <w:sz w:val="21"/>
          <w:szCs w:val="21"/>
        </w:rPr>
        <w:t>.</w:t>
      </w:r>
      <w:r w:rsidR="00F07703">
        <w:rPr>
          <w:rFonts w:ascii="Arial" w:hAnsi="Arial" w:cs="Arial"/>
          <w:b/>
          <w:bCs/>
          <w:sz w:val="21"/>
          <w:szCs w:val="21"/>
        </w:rPr>
        <w:t xml:space="preserve"> </w:t>
      </w:r>
      <w:r w:rsidRPr="001B7AA7">
        <w:rPr>
          <w:rFonts w:ascii="Arial" w:hAnsi="Arial" w:cs="Arial"/>
          <w:b/>
          <w:bCs/>
          <w:sz w:val="21"/>
          <w:szCs w:val="21"/>
        </w:rPr>
        <w:t>2026</w:t>
      </w:r>
    </w:p>
    <w:p w14:paraId="019DF19F" w14:textId="77777777" w:rsidR="00E17C3E" w:rsidRDefault="00E17C3E" w:rsidP="00E17C3E">
      <w:pPr>
        <w:spacing w:after="0" w:line="276" w:lineRule="auto"/>
        <w:rPr>
          <w:rFonts w:ascii="Arial" w:hAnsi="Arial" w:cs="Arial"/>
        </w:rPr>
      </w:pPr>
    </w:p>
    <w:p w14:paraId="6A74C30E" w14:textId="38776FEE" w:rsidR="00E17C3E" w:rsidRDefault="00E17C3E" w:rsidP="00E17C3E">
      <w:pPr>
        <w:spacing w:after="0" w:line="276" w:lineRule="auto"/>
        <w:rPr>
          <w:rFonts w:ascii="Arial" w:hAnsi="Arial" w:cs="Arial"/>
          <w:b/>
          <w:bCs/>
        </w:rPr>
      </w:pPr>
      <w:r w:rsidRPr="00E17C3E">
        <w:rPr>
          <w:rFonts w:ascii="Arial" w:hAnsi="Arial" w:cs="Arial"/>
          <w:b/>
          <w:bCs/>
        </w:rPr>
        <w:t>Češi letos spoří víc</w:t>
      </w:r>
      <w:r>
        <w:rPr>
          <w:rFonts w:ascii="Arial" w:hAnsi="Arial" w:cs="Arial"/>
          <w:b/>
          <w:bCs/>
        </w:rPr>
        <w:t>e</w:t>
      </w:r>
      <w:r w:rsidRPr="00E17C3E">
        <w:rPr>
          <w:rFonts w:ascii="Arial" w:hAnsi="Arial" w:cs="Arial"/>
          <w:b/>
          <w:bCs/>
        </w:rPr>
        <w:t xml:space="preserve"> než loni</w:t>
      </w:r>
      <w:r>
        <w:rPr>
          <w:rFonts w:ascii="Arial" w:hAnsi="Arial" w:cs="Arial"/>
          <w:b/>
          <w:bCs/>
        </w:rPr>
        <w:t xml:space="preserve">, </w:t>
      </w:r>
      <w:r w:rsidRPr="00E17C3E">
        <w:rPr>
          <w:rFonts w:ascii="Arial" w:hAnsi="Arial" w:cs="Arial"/>
          <w:b/>
          <w:bCs/>
        </w:rPr>
        <w:t>zároveň ale své úspory ukládají</w:t>
      </w:r>
      <w:r w:rsidRPr="00E17C3E" w:rsidDel="00E17C3E">
        <w:rPr>
          <w:rFonts w:ascii="Arial" w:hAnsi="Arial" w:cs="Arial"/>
          <w:b/>
          <w:bCs/>
        </w:rPr>
        <w:t xml:space="preserve"> </w:t>
      </w:r>
      <w:r w:rsidRPr="00E17C3E">
        <w:rPr>
          <w:rFonts w:ascii="Arial" w:hAnsi="Arial" w:cs="Arial"/>
          <w:b/>
          <w:bCs/>
        </w:rPr>
        <w:t>jinak. Investiční produkty poprvé před</w:t>
      </w:r>
      <w:r>
        <w:rPr>
          <w:rFonts w:ascii="Arial" w:hAnsi="Arial" w:cs="Arial"/>
          <w:b/>
          <w:bCs/>
        </w:rPr>
        <w:t>stihly</w:t>
      </w:r>
      <w:r w:rsidRPr="00E17C3E">
        <w:rPr>
          <w:rFonts w:ascii="Arial" w:hAnsi="Arial" w:cs="Arial"/>
          <w:b/>
          <w:bCs/>
        </w:rPr>
        <w:t xml:space="preserve"> běžn</w:t>
      </w:r>
      <w:r>
        <w:rPr>
          <w:rFonts w:ascii="Arial" w:hAnsi="Arial" w:cs="Arial"/>
          <w:b/>
          <w:bCs/>
        </w:rPr>
        <w:t>é</w:t>
      </w:r>
      <w:r w:rsidRPr="00E17C3E">
        <w:rPr>
          <w:rFonts w:ascii="Arial" w:hAnsi="Arial" w:cs="Arial"/>
          <w:b/>
          <w:bCs/>
        </w:rPr>
        <w:t xml:space="preserve"> účt</w:t>
      </w:r>
      <w:r>
        <w:rPr>
          <w:rFonts w:ascii="Arial" w:hAnsi="Arial" w:cs="Arial"/>
          <w:b/>
          <w:bCs/>
        </w:rPr>
        <w:t>y</w:t>
      </w:r>
      <w:r w:rsidRPr="00E17C3E">
        <w:rPr>
          <w:rFonts w:ascii="Arial" w:hAnsi="Arial" w:cs="Arial"/>
          <w:b/>
          <w:bCs/>
        </w:rPr>
        <w:t xml:space="preserve"> a staly se druhým nejčastějším místem, kde si domácnosti drží</w:t>
      </w:r>
      <w:r>
        <w:rPr>
          <w:rFonts w:ascii="Arial" w:hAnsi="Arial" w:cs="Arial"/>
          <w:b/>
          <w:bCs/>
        </w:rPr>
        <w:t xml:space="preserve"> své</w:t>
      </w:r>
      <w:r w:rsidRPr="00E17C3E">
        <w:rPr>
          <w:rFonts w:ascii="Arial" w:hAnsi="Arial" w:cs="Arial"/>
          <w:b/>
          <w:bCs/>
        </w:rPr>
        <w:t xml:space="preserve"> finanční rezerv</w:t>
      </w:r>
      <w:r>
        <w:rPr>
          <w:rFonts w:ascii="Arial" w:hAnsi="Arial" w:cs="Arial"/>
          <w:b/>
          <w:bCs/>
        </w:rPr>
        <w:t>y</w:t>
      </w:r>
      <w:r w:rsidRPr="00E17C3E">
        <w:rPr>
          <w:rFonts w:ascii="Arial" w:hAnsi="Arial" w:cs="Arial"/>
          <w:b/>
          <w:bCs/>
        </w:rPr>
        <w:t>. Vyplývá to z nejnovějšího průzkumu</w:t>
      </w:r>
      <w:r>
        <w:rPr>
          <w:rFonts w:ascii="Arial" w:hAnsi="Arial" w:cs="Arial"/>
          <w:b/>
          <w:bCs/>
        </w:rPr>
        <w:t xml:space="preserve"> agentury Ipsos </w:t>
      </w:r>
      <w:r w:rsidRPr="00E17C3E">
        <w:rPr>
          <w:rFonts w:ascii="Arial" w:hAnsi="Arial" w:cs="Arial"/>
          <w:b/>
          <w:bCs/>
        </w:rPr>
        <w:t xml:space="preserve">pro společnost </w:t>
      </w:r>
      <w:proofErr w:type="spellStart"/>
      <w:r w:rsidRPr="00E17C3E">
        <w:rPr>
          <w:rFonts w:ascii="Arial" w:hAnsi="Arial" w:cs="Arial"/>
          <w:b/>
          <w:bCs/>
        </w:rPr>
        <w:t>Home</w:t>
      </w:r>
      <w:proofErr w:type="spellEnd"/>
      <w:r w:rsidRPr="00E17C3E">
        <w:rPr>
          <w:rFonts w:ascii="Arial" w:hAnsi="Arial" w:cs="Arial"/>
          <w:b/>
          <w:bCs/>
        </w:rPr>
        <w:t xml:space="preserve"> </w:t>
      </w:r>
      <w:proofErr w:type="spellStart"/>
      <w:r w:rsidRPr="00E17C3E">
        <w:rPr>
          <w:rFonts w:ascii="Arial" w:hAnsi="Arial" w:cs="Arial"/>
          <w:b/>
          <w:bCs/>
        </w:rPr>
        <w:t>Credit</w:t>
      </w:r>
      <w:proofErr w:type="spellEnd"/>
      <w:r>
        <w:rPr>
          <w:rFonts w:ascii="Arial" w:hAnsi="Arial" w:cs="Arial"/>
          <w:b/>
          <w:bCs/>
        </w:rPr>
        <w:t>. Finanční</w:t>
      </w:r>
      <w:r w:rsidRPr="00E17C3E">
        <w:rPr>
          <w:rFonts w:ascii="Arial" w:hAnsi="Arial" w:cs="Arial"/>
          <w:b/>
          <w:bCs/>
        </w:rPr>
        <w:t xml:space="preserve"> situace</w:t>
      </w:r>
      <w:r>
        <w:rPr>
          <w:rFonts w:ascii="Arial" w:hAnsi="Arial" w:cs="Arial"/>
          <w:b/>
          <w:bCs/>
        </w:rPr>
        <w:t xml:space="preserve"> českých</w:t>
      </w:r>
      <w:r w:rsidRPr="00E17C3E">
        <w:rPr>
          <w:rFonts w:ascii="Arial" w:hAnsi="Arial" w:cs="Arial"/>
          <w:b/>
          <w:bCs/>
        </w:rPr>
        <w:t xml:space="preserve"> domácností se přitom mírně zlepšuje</w:t>
      </w:r>
      <w:r>
        <w:rPr>
          <w:rFonts w:ascii="Arial" w:hAnsi="Arial" w:cs="Arial"/>
          <w:b/>
          <w:bCs/>
        </w:rPr>
        <w:t>.</w:t>
      </w:r>
      <w:r w:rsidRPr="00E17C3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V</w:t>
      </w:r>
      <w:r w:rsidRPr="00E17C3E">
        <w:rPr>
          <w:rFonts w:ascii="Arial" w:hAnsi="Arial" w:cs="Arial"/>
          <w:b/>
          <w:bCs/>
        </w:rPr>
        <w:t xml:space="preserve">yšší </w:t>
      </w:r>
      <w:proofErr w:type="gramStart"/>
      <w:r w:rsidRPr="00E17C3E">
        <w:rPr>
          <w:rFonts w:ascii="Arial" w:hAnsi="Arial" w:cs="Arial"/>
          <w:b/>
          <w:bCs/>
        </w:rPr>
        <w:t>rezervu</w:t>
      </w:r>
      <w:proofErr w:type="gramEnd"/>
      <w:r w:rsidRPr="00E17C3E">
        <w:rPr>
          <w:rFonts w:ascii="Arial" w:hAnsi="Arial" w:cs="Arial"/>
          <w:b/>
          <w:bCs/>
        </w:rPr>
        <w:t xml:space="preserve"> než před rokem hlásí 33</w:t>
      </w:r>
      <w:r w:rsidR="00CF48D8">
        <w:rPr>
          <w:rFonts w:ascii="Arial" w:hAnsi="Arial" w:cs="Arial"/>
          <w:b/>
          <w:bCs/>
        </w:rPr>
        <w:t> </w:t>
      </w:r>
      <w:r w:rsidRPr="00E17C3E">
        <w:rPr>
          <w:rFonts w:ascii="Arial" w:hAnsi="Arial" w:cs="Arial"/>
          <w:b/>
          <w:bCs/>
        </w:rPr>
        <w:t>%</w:t>
      </w:r>
      <w:r w:rsidR="00CF48D8">
        <w:rPr>
          <w:rFonts w:ascii="Arial" w:hAnsi="Arial" w:cs="Arial"/>
          <w:b/>
          <w:bCs/>
        </w:rPr>
        <w:t> </w:t>
      </w:r>
      <w:r w:rsidRPr="00E17C3E">
        <w:rPr>
          <w:rFonts w:ascii="Arial" w:hAnsi="Arial" w:cs="Arial"/>
          <w:b/>
          <w:bCs/>
        </w:rPr>
        <w:t>domácností</w:t>
      </w:r>
      <w:r w:rsidR="00A329F6">
        <w:rPr>
          <w:rFonts w:ascii="Arial" w:hAnsi="Arial" w:cs="Arial"/>
          <w:b/>
          <w:bCs/>
        </w:rPr>
        <w:t xml:space="preserve">, </w:t>
      </w:r>
      <w:r w:rsidR="00A329F6" w:rsidRPr="00FF4E3E">
        <w:rPr>
          <w:rFonts w:ascii="Arial" w:hAnsi="Arial" w:cs="Arial"/>
          <w:b/>
          <w:bCs/>
        </w:rPr>
        <w:t>oproti 28 % v loňském roce</w:t>
      </w:r>
      <w:r w:rsidR="00030D12">
        <w:rPr>
          <w:rFonts w:ascii="Arial" w:hAnsi="Arial" w:cs="Arial"/>
          <w:b/>
          <w:bCs/>
        </w:rPr>
        <w:t xml:space="preserve">, </w:t>
      </w:r>
      <w:r w:rsidRPr="00E17C3E">
        <w:rPr>
          <w:rFonts w:ascii="Arial" w:hAnsi="Arial" w:cs="Arial"/>
          <w:b/>
          <w:bCs/>
        </w:rPr>
        <w:t xml:space="preserve">29 % </w:t>
      </w:r>
      <w:r w:rsidR="00E94103">
        <w:rPr>
          <w:rFonts w:ascii="Arial" w:hAnsi="Arial" w:cs="Arial"/>
          <w:b/>
          <w:bCs/>
        </w:rPr>
        <w:t xml:space="preserve">českých domácností </w:t>
      </w:r>
      <w:r w:rsidR="00030D12">
        <w:rPr>
          <w:rFonts w:ascii="Arial" w:hAnsi="Arial" w:cs="Arial"/>
          <w:b/>
          <w:bCs/>
        </w:rPr>
        <w:t xml:space="preserve">pak </w:t>
      </w:r>
      <w:r w:rsidRPr="00E17C3E">
        <w:rPr>
          <w:rFonts w:ascii="Arial" w:hAnsi="Arial" w:cs="Arial"/>
          <w:b/>
          <w:bCs/>
        </w:rPr>
        <w:t xml:space="preserve">má naspořeno více než pětinásobek </w:t>
      </w:r>
      <w:r>
        <w:rPr>
          <w:rFonts w:ascii="Arial" w:hAnsi="Arial" w:cs="Arial"/>
          <w:b/>
          <w:bCs/>
        </w:rPr>
        <w:t xml:space="preserve">svého </w:t>
      </w:r>
      <w:r w:rsidRPr="00E17C3E">
        <w:rPr>
          <w:rFonts w:ascii="Arial" w:hAnsi="Arial" w:cs="Arial"/>
          <w:b/>
          <w:bCs/>
        </w:rPr>
        <w:t xml:space="preserve">měsíčního příjmu. </w:t>
      </w:r>
      <w:r w:rsidR="00E94103" w:rsidRPr="00FF4E3E">
        <w:rPr>
          <w:rFonts w:ascii="Arial" w:hAnsi="Arial" w:cs="Arial"/>
          <w:b/>
          <w:bCs/>
        </w:rPr>
        <w:t>Menší úspory</w:t>
      </w:r>
      <w:r w:rsidR="009A7231" w:rsidRPr="00FF4E3E">
        <w:rPr>
          <w:rFonts w:ascii="Arial" w:hAnsi="Arial" w:cs="Arial"/>
          <w:b/>
          <w:bCs/>
        </w:rPr>
        <w:t xml:space="preserve"> pak zaznamenalo pouze 31 % respondentů oproti 38 % v minulém roce.</w:t>
      </w:r>
      <w:r w:rsidR="009A7231">
        <w:rPr>
          <w:rFonts w:ascii="Arial" w:hAnsi="Arial" w:cs="Arial"/>
          <w:b/>
          <w:bCs/>
        </w:rPr>
        <w:t xml:space="preserve"> </w:t>
      </w:r>
      <w:r w:rsidR="00CF48D8" w:rsidRPr="00E17C3E">
        <w:rPr>
          <w:rFonts w:ascii="Arial" w:hAnsi="Arial" w:cs="Arial"/>
          <w:b/>
          <w:bCs/>
        </w:rPr>
        <w:t>Průzkum však zároveň upozorňuje</w:t>
      </w:r>
      <w:r w:rsidR="009A7231">
        <w:rPr>
          <w:rFonts w:ascii="Arial" w:hAnsi="Arial" w:cs="Arial"/>
          <w:b/>
          <w:bCs/>
        </w:rPr>
        <w:t>, že</w:t>
      </w:r>
      <w:r w:rsidR="00CF48D8" w:rsidRPr="00E17C3E">
        <w:rPr>
          <w:rFonts w:ascii="Arial" w:hAnsi="Arial" w:cs="Arial"/>
          <w:b/>
          <w:bCs/>
        </w:rPr>
        <w:t xml:space="preserve"> 12 % domácností si pravidelně neodkládá žádné peníze a 11 % </w:t>
      </w:r>
      <w:r w:rsidR="00CF48D8">
        <w:rPr>
          <w:rFonts w:ascii="Arial" w:hAnsi="Arial" w:cs="Arial"/>
          <w:b/>
          <w:bCs/>
        </w:rPr>
        <w:t xml:space="preserve">si </w:t>
      </w:r>
      <w:r w:rsidR="00CF48D8" w:rsidRPr="00E17C3E">
        <w:rPr>
          <w:rFonts w:ascii="Arial" w:hAnsi="Arial" w:cs="Arial"/>
          <w:b/>
          <w:bCs/>
        </w:rPr>
        <w:t>nevytvořilo žádnou finanční rezervu.</w:t>
      </w:r>
      <w:r w:rsidR="00A329F6">
        <w:rPr>
          <w:rFonts w:ascii="Arial" w:hAnsi="Arial" w:cs="Arial"/>
          <w:b/>
          <w:bCs/>
        </w:rPr>
        <w:t xml:space="preserve"> </w:t>
      </w:r>
    </w:p>
    <w:p w14:paraId="13B5C9EE" w14:textId="77777777" w:rsidR="00E17C3E" w:rsidRPr="006B1560" w:rsidRDefault="00E17C3E" w:rsidP="00E17C3E">
      <w:pPr>
        <w:spacing w:after="0" w:line="276" w:lineRule="auto"/>
        <w:rPr>
          <w:rFonts w:ascii="Arial" w:hAnsi="Arial" w:cs="Arial"/>
        </w:rPr>
      </w:pPr>
    </w:p>
    <w:p w14:paraId="2AFC48A2" w14:textId="77777777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E17C3E">
        <w:rPr>
          <w:rFonts w:ascii="Arial" w:hAnsi="Arial" w:cs="Arial"/>
          <w:b/>
          <w:bCs/>
          <w:color w:val="000000" w:themeColor="text1"/>
          <w:sz w:val="21"/>
          <w:szCs w:val="21"/>
        </w:rPr>
        <w:t>Nejčastěji si Češi odkládají 3 až 5 tisíc měsíčně</w:t>
      </w:r>
    </w:p>
    <w:p w14:paraId="21E89573" w14:textId="04FCCAC4" w:rsidR="0009733B" w:rsidRPr="00E17C3E" w:rsidRDefault="0055568F" w:rsidP="0009733B">
      <w:pPr>
        <w:spacing w:after="0" w:line="276" w:lineRule="auto"/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To, k</w:t>
      </w:r>
      <w:r w:rsidR="00E17C3E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olik peněz </w:t>
      </w:r>
      <w:r w:rsidRPr="00403A0B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české domácnosti každý měsíc odkládají stranou, se výrazně </w:t>
      </w:r>
      <w:r w:rsidR="00E17C3E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liší. Nejčastěj</w:t>
      </w:r>
      <w:r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i spoří </w:t>
      </w:r>
      <w:r w:rsidR="00E17C3E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částk</w:t>
      </w:r>
      <w:r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u</w:t>
      </w:r>
      <w:r w:rsidR="00E17C3E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 mezi 3 000 a 5 000 Kč, kterou uvádí 16 % domácností. Více než 10 000 Kč měsíčně si dokáže odložit 26 % </w:t>
      </w:r>
      <w:r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z nich</w:t>
      </w:r>
      <w:r w:rsidR="00E17C3E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. </w:t>
      </w:r>
      <w:r w:rsidR="0009733B" w:rsidRPr="00FF4E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Na opačném konci žebříčku stojí domácnosti, které si nevytvářejí finanční rezervu vůbec</w:t>
      </w:r>
      <w:r w:rsidR="0009733B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 (</w:t>
      </w:r>
      <w:r w:rsidR="0009733B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12 %</w:t>
      </w:r>
      <w:r w:rsidR="0009733B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)</w:t>
      </w:r>
      <w:r w:rsidR="0009733B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 </w:t>
      </w:r>
      <w:r w:rsidR="0009733B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nebo ušetří méně než tisíc korun</w:t>
      </w:r>
      <w:r w:rsidR="0009733B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 </w:t>
      </w:r>
      <w:r w:rsidR="0009733B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(</w:t>
      </w:r>
      <w:r w:rsidR="0009733B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10 %</w:t>
      </w:r>
      <w:r w:rsidR="0009733B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). To je dohromady </w:t>
      </w:r>
      <w:r w:rsidR="0009733B"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více než pětina Čechů</w:t>
      </w:r>
      <w:r w:rsidR="0009733B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.</w:t>
      </w:r>
    </w:p>
    <w:p w14:paraId="2B7B2D6B" w14:textId="70FB61A5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</w:pPr>
    </w:p>
    <w:p w14:paraId="633BBCA5" w14:textId="0BF0DF93" w:rsidR="00E17C3E" w:rsidRPr="00E17C3E" w:rsidRDefault="0009733B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FF4E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Bez jakýchkoli úspor funguj</w:t>
      </w:r>
      <w:r w:rsidR="00E94103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e 30 %</w:t>
      </w:r>
      <w:r w:rsidRPr="00E17C3E" w:rsidDel="0009733B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domácnosti s příjmem do 30 000 Kč, kde si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stranou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neodloží ani korunu. Nejvyšší částky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si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naopak odkládají domácnosti s příjmem </w:t>
      </w:r>
      <w:r>
        <w:rPr>
          <w:rFonts w:ascii="Arial" w:hAnsi="Arial" w:cs="Arial"/>
          <w:color w:val="000000" w:themeColor="text1"/>
          <w:sz w:val="21"/>
          <w:szCs w:val="21"/>
        </w:rPr>
        <w:t>převyšujícím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80 000 Kč</w:t>
      </w:r>
      <w:r w:rsidR="00D23F10">
        <w:rPr>
          <w:rFonts w:ascii="Arial" w:hAnsi="Arial" w:cs="Arial"/>
          <w:color w:val="000000" w:themeColor="text1"/>
          <w:sz w:val="21"/>
          <w:szCs w:val="21"/>
        </w:rPr>
        <w:t xml:space="preserve">. </w:t>
      </w:r>
      <w:r w:rsidRPr="00403A0B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Nadprůměrnou schopnost vytvářet rezervy vykazují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vysokoškoláci (29 %), obyvatelé Prahy (28 %) a lidé ve věku 36–44 let (24 %). </w:t>
      </w:r>
      <w:r w:rsidRPr="00FF4E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Průzkum tak potvrzuje výrazné rozdíly mezi příjmovými skupinami</w:t>
      </w:r>
      <w:r w:rsidR="00D23F10">
        <w:rPr>
          <w:rFonts w:ascii="Arial" w:hAnsi="Arial" w:cs="Arial"/>
          <w:color w:val="000000" w:themeColor="text1"/>
          <w:sz w:val="21"/>
          <w:szCs w:val="21"/>
        </w:rPr>
        <w:t>. Z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atímco v nejnižší příjmové kategorii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si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neodkládá téměř třetina domácností 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vůbec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nic, v té nejvyšší si téměř polovina </w:t>
      </w:r>
      <w:r>
        <w:rPr>
          <w:rFonts w:ascii="Arial" w:hAnsi="Arial" w:cs="Arial"/>
          <w:color w:val="000000" w:themeColor="text1"/>
          <w:sz w:val="21"/>
          <w:szCs w:val="21"/>
        </w:rPr>
        <w:t>spoří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více než </w:t>
      </w:r>
      <w:r>
        <w:rPr>
          <w:rFonts w:ascii="Arial" w:hAnsi="Arial" w:cs="Arial"/>
          <w:color w:val="000000" w:themeColor="text1"/>
          <w:sz w:val="21"/>
          <w:szCs w:val="21"/>
        </w:rPr>
        <w:t>10 000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korun měsíčně.</w:t>
      </w:r>
    </w:p>
    <w:p w14:paraId="21097C87" w14:textId="77777777" w:rsidR="00CF48D8" w:rsidRDefault="00CF48D8" w:rsidP="00E17C3E">
      <w:pPr>
        <w:spacing w:after="0" w:line="276" w:lineRule="auto"/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</w:pPr>
    </w:p>
    <w:p w14:paraId="5427A3E3" w14:textId="72F4AD90" w:rsidR="00E17C3E" w:rsidRPr="00FF4E3E" w:rsidRDefault="00E17C3E" w:rsidP="00E17C3E">
      <w:pPr>
        <w:spacing w:after="0" w:line="276" w:lineRule="auto"/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</w:pPr>
      <w:r w:rsidRPr="00E17C3E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„Průměrné hodnoty </w:t>
      </w:r>
      <w:r w:rsidR="00D23F10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uspořených částek </w:t>
      </w:r>
      <w:r w:rsidR="00E8772A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>sice meziročně</w:t>
      </w:r>
      <w:r w:rsidRPr="00E17C3E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 mírně rostou, </w:t>
      </w:r>
      <w:r w:rsidR="00D23F10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to </w:t>
      </w:r>
      <w:r w:rsidRPr="00E17C3E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>ale neznamená, že se zlepšuje situace všech</w:t>
      </w:r>
      <w:r w:rsidR="00E8772A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 domácností</w:t>
      </w:r>
      <w:r w:rsidRPr="00E17C3E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. Podíl </w:t>
      </w:r>
      <w:r w:rsidR="00E8772A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>těch</w:t>
      </w:r>
      <w:r w:rsidRPr="00E17C3E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, které si neodloží ani korunu, se drží na stejné úrovni jako loni. Naopak ve vyšších příjmových skupinách </w:t>
      </w:r>
      <w:r w:rsidR="00E8772A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objem vytvářených úspor dál roste</w:t>
      </w:r>
      <w:r w:rsidR="00E8772A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>.</w:t>
      </w:r>
      <w:r w:rsidRPr="00E17C3E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 Nůžky mezi těmi, </w:t>
      </w:r>
      <w:r w:rsidR="00E8772A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>kteří si dokážou budovat finanční</w:t>
      </w:r>
      <w:r w:rsidRPr="00E17C3E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 rezervu, a těmi, kdo žijí od výplaty k výplatě, se tak </w:t>
      </w:r>
      <w:r w:rsidR="00E8772A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>nadále</w:t>
      </w:r>
      <w:r w:rsidRPr="00E17C3E">
        <w:rPr>
          <w:rFonts w:ascii="Arial" w:hAnsi="Arial" w:cs="Arial"/>
          <w:i/>
          <w:iCs/>
          <w:color w:val="000000" w:themeColor="text1"/>
          <w:spacing w:val="8"/>
          <w:sz w:val="21"/>
          <w:szCs w:val="21"/>
          <w:shd w:val="clear" w:color="auto" w:fill="FFFFFF"/>
        </w:rPr>
        <w:t xml:space="preserve"> rozevírají,“</w:t>
      </w:r>
      <w:r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 komentuje Jaroslav Ondrušek, hlavní analytik společnosti </w:t>
      </w:r>
      <w:proofErr w:type="spellStart"/>
      <w:r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Home</w:t>
      </w:r>
      <w:proofErr w:type="spellEnd"/>
      <w:r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 xml:space="preserve"> </w:t>
      </w:r>
      <w:proofErr w:type="spellStart"/>
      <w:r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Credit</w:t>
      </w:r>
      <w:proofErr w:type="spellEnd"/>
      <w:r w:rsidRPr="00E17C3E">
        <w:rPr>
          <w:rFonts w:ascii="Arial" w:hAnsi="Arial" w:cs="Arial"/>
          <w:color w:val="000000" w:themeColor="text1"/>
          <w:spacing w:val="8"/>
          <w:sz w:val="21"/>
          <w:szCs w:val="21"/>
          <w:shd w:val="clear" w:color="auto" w:fill="FFFFFF"/>
        </w:rPr>
        <w:t>.</w:t>
      </w:r>
    </w:p>
    <w:p w14:paraId="3FA51BAE" w14:textId="77777777" w:rsidR="0009733B" w:rsidRPr="00E17C3E" w:rsidRDefault="0009733B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6460B94E" w14:textId="2FB371B6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E17C3E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Téměř čtvrtina domácností </w:t>
      </w:r>
      <w:r w:rsidR="00D23F10">
        <w:rPr>
          <w:rFonts w:ascii="Arial" w:hAnsi="Arial" w:cs="Arial"/>
          <w:b/>
          <w:bCs/>
          <w:color w:val="000000" w:themeColor="text1"/>
          <w:sz w:val="21"/>
          <w:szCs w:val="21"/>
        </w:rPr>
        <w:t>nemá rezervu na výpadek ani jedné výplaty</w:t>
      </w:r>
    </w:p>
    <w:p w14:paraId="757E3557" w14:textId="67D845B1" w:rsidR="00E8772A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Výše </w:t>
      </w:r>
      <w:r w:rsidR="00E8772A" w:rsidRPr="00E8772A">
        <w:rPr>
          <w:rFonts w:ascii="Arial" w:hAnsi="Arial" w:cs="Arial"/>
          <w:color w:val="000000" w:themeColor="text1"/>
          <w:sz w:val="21"/>
          <w:szCs w:val="21"/>
        </w:rPr>
        <w:t>finančních rezerv českých domácností ukazuje na dvě velmi rozdílné reality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>. Bez jakékoli rezervy je 11</w:t>
      </w:r>
      <w:r w:rsidR="00E64538">
        <w:rPr>
          <w:rFonts w:ascii="Arial" w:hAnsi="Arial" w:cs="Arial"/>
          <w:color w:val="000000" w:themeColor="text1"/>
          <w:sz w:val="21"/>
          <w:szCs w:val="21"/>
        </w:rPr>
        <w:t> 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>%</w:t>
      </w:r>
      <w:r w:rsidR="00E64538">
        <w:rPr>
          <w:rFonts w:ascii="Arial" w:hAnsi="Arial" w:cs="Arial"/>
          <w:color w:val="000000" w:themeColor="text1"/>
          <w:sz w:val="21"/>
          <w:szCs w:val="21"/>
        </w:rPr>
        <w:t> 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domácností, další 12 % má </w:t>
      </w:r>
      <w:r w:rsidR="00D46689">
        <w:rPr>
          <w:rFonts w:ascii="Arial" w:hAnsi="Arial" w:cs="Arial"/>
          <w:color w:val="000000" w:themeColor="text1"/>
          <w:sz w:val="21"/>
          <w:szCs w:val="21"/>
        </w:rPr>
        <w:t xml:space="preserve">naspořeno 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méně než jeden měsíční příjem. Dohromady tedy téměř čtvrtina domácností </w:t>
      </w:r>
      <w:r w:rsidR="00D46689">
        <w:rPr>
          <w:rFonts w:ascii="Arial" w:hAnsi="Arial" w:cs="Arial"/>
          <w:color w:val="000000" w:themeColor="text1"/>
          <w:sz w:val="21"/>
          <w:szCs w:val="21"/>
        </w:rPr>
        <w:t>nepokryje</w:t>
      </w:r>
      <w:r w:rsidR="00D46689" w:rsidRPr="00E17C3E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výpadek ani </w:t>
      </w:r>
      <w:r w:rsidR="00122FA6">
        <w:rPr>
          <w:rFonts w:ascii="Arial" w:hAnsi="Arial" w:cs="Arial"/>
          <w:color w:val="000000" w:themeColor="text1"/>
          <w:sz w:val="21"/>
          <w:szCs w:val="21"/>
        </w:rPr>
        <w:t>jediné výplaty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>. Proti tomu stojí 29 % domácností s rezervou přesahující pětinásobek měsíčního příjmu,</w:t>
      </w:r>
      <w:r w:rsidR="00D46689">
        <w:rPr>
          <w:rFonts w:ascii="Arial" w:hAnsi="Arial" w:cs="Arial"/>
          <w:color w:val="000000" w:themeColor="text1"/>
          <w:sz w:val="21"/>
          <w:szCs w:val="21"/>
        </w:rPr>
        <w:t xml:space="preserve"> kterých bylo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 loni </w:t>
      </w:r>
      <w:r w:rsidR="00D46689">
        <w:rPr>
          <w:rFonts w:ascii="Arial" w:hAnsi="Arial" w:cs="Arial"/>
          <w:color w:val="000000" w:themeColor="text1"/>
          <w:sz w:val="21"/>
          <w:szCs w:val="21"/>
        </w:rPr>
        <w:t>jen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 26 %.</w:t>
      </w:r>
      <w:r w:rsidR="00D46689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>Nejlépe jsou na tom domácnosti s příjmem nad 80</w:t>
      </w:r>
      <w:r w:rsidR="00122FA6">
        <w:rPr>
          <w:rFonts w:ascii="Arial" w:hAnsi="Arial" w:cs="Arial"/>
          <w:color w:val="000000" w:themeColor="text1"/>
          <w:sz w:val="21"/>
          <w:szCs w:val="21"/>
        </w:rPr>
        <w:t> 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>000 Kč (49 %), obyvatelé Prahy (39 %), lidé ve věku 54–65 let (37 %), dvojčlenné domácnosti (34 %) a ženatí (34 %). Absenci rezervy naopak častěji deklarují vyučení (21 %) a rozvedení (20 %), rezervu pod jeden měsíční příjem pak jednočlenné domácnosti (17 %) a domácnosti s příjmem do 30 000 Kč (19 %)</w:t>
      </w:r>
      <w:r w:rsidR="00122FA6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D4E2E21" w14:textId="77777777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2B4C7012" w14:textId="342561B4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„Dostatečná finanční rezerva </w:t>
      </w:r>
      <w:r w:rsidR="00D46689">
        <w:rPr>
          <w:rFonts w:ascii="Arial" w:hAnsi="Arial" w:cs="Arial"/>
          <w:i/>
          <w:iCs/>
          <w:color w:val="000000" w:themeColor="text1"/>
          <w:sz w:val="21"/>
          <w:szCs w:val="21"/>
        </w:rPr>
        <w:t>představuje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první lini</w:t>
      </w:r>
      <w:r w:rsidR="00D46689">
        <w:rPr>
          <w:rFonts w:ascii="Arial" w:hAnsi="Arial" w:cs="Arial"/>
          <w:i/>
          <w:iCs/>
          <w:color w:val="000000" w:themeColor="text1"/>
          <w:sz w:val="21"/>
          <w:szCs w:val="21"/>
        </w:rPr>
        <w:t>i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obrany proti nečekaným </w:t>
      </w:r>
      <w:r w:rsidR="00D46689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životním 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situacím</w:t>
      </w:r>
      <w:r w:rsidR="00122FA6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. </w:t>
      </w:r>
      <w:r w:rsidR="00D46689">
        <w:rPr>
          <w:rFonts w:ascii="Arial" w:hAnsi="Arial" w:cs="Arial"/>
          <w:i/>
          <w:iCs/>
          <w:color w:val="000000" w:themeColor="text1"/>
          <w:sz w:val="21"/>
          <w:szCs w:val="21"/>
        </w:rPr>
        <w:t>V ideálním případě</w:t>
      </w:r>
      <w:r w:rsidR="00D46689"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by měla pokrývat tři až šest měsíců běžných výdajů domácnosti. Pokud</w:t>
      </w:r>
      <w:r w:rsidR="00122FA6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rezerva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chybí,</w:t>
      </w:r>
      <w:r w:rsidR="00D46689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může se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i relativně malý neplánovaný výdaj</w:t>
      </w:r>
      <w:r w:rsidRPr="00D46689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D46689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rychle proměnit v problém a vést k zadlužení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="00DF6E5C" w:rsidRPr="00DF6E5C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DF6E5C" w:rsidRPr="00D46689">
        <w:rPr>
          <w:rFonts w:ascii="Arial" w:hAnsi="Arial" w:cs="Arial"/>
          <w:i/>
          <w:iCs/>
          <w:color w:val="000000" w:themeColor="text1"/>
          <w:sz w:val="21"/>
          <w:szCs w:val="21"/>
        </w:rPr>
        <w:t>Zkušenosti přitom ukazují, že klíčem k úspěchu není výše odkládané částky, ale pravidelnost. Vyplatí se</w:t>
      </w:r>
      <w:r w:rsidR="00DF6E5C"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nastavit si trvalý příkaz hned po výplatě</w:t>
      </w:r>
      <w:r w:rsidR="00DF6E5C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a </w:t>
      </w:r>
      <w:r w:rsidR="00DF6E5C" w:rsidRPr="00D46689">
        <w:rPr>
          <w:rFonts w:ascii="Arial" w:hAnsi="Arial" w:cs="Arial"/>
          <w:i/>
          <w:iCs/>
          <w:color w:val="000000" w:themeColor="text1"/>
          <w:sz w:val="21"/>
          <w:szCs w:val="21"/>
        </w:rPr>
        <w:t>automaticky si odkládat například</w:t>
      </w:r>
      <w:r w:rsidR="00DF6E5C"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deset procent příjmu</w:t>
      </w:r>
      <w:r w:rsidR="00DF6E5C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na </w:t>
      </w:r>
      <w:r w:rsidR="00DF6E5C"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spořicí</w:t>
      </w:r>
      <w:r w:rsidR="00DF6E5C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DF6E5C"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úč</w:t>
      </w:r>
      <w:r w:rsidR="00DF6E5C">
        <w:rPr>
          <w:rFonts w:ascii="Arial" w:hAnsi="Arial" w:cs="Arial"/>
          <w:i/>
          <w:iCs/>
          <w:color w:val="000000" w:themeColor="text1"/>
          <w:sz w:val="21"/>
          <w:szCs w:val="21"/>
        </w:rPr>
        <w:t>et.</w:t>
      </w:r>
      <w:r w:rsidR="00DF6E5C" w:rsidRPr="00DF6E5C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DF6E5C" w:rsidRPr="00D46689">
        <w:rPr>
          <w:rFonts w:ascii="Arial" w:hAnsi="Arial" w:cs="Arial"/>
          <w:i/>
          <w:iCs/>
          <w:color w:val="000000" w:themeColor="text1"/>
          <w:sz w:val="21"/>
          <w:szCs w:val="21"/>
        </w:rPr>
        <w:t>Důležité je vytvořit si návyk a odkládání dlouhodobě nepřerušovat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,“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 říká Miroslav Zborovský, ombudsman klientů </w:t>
      </w:r>
      <w:proofErr w:type="spellStart"/>
      <w:r w:rsidRPr="00E17C3E">
        <w:rPr>
          <w:rFonts w:ascii="Arial" w:hAnsi="Arial" w:cs="Arial"/>
          <w:color w:val="000000" w:themeColor="text1"/>
          <w:sz w:val="21"/>
          <w:szCs w:val="21"/>
        </w:rPr>
        <w:t>Home</w:t>
      </w:r>
      <w:proofErr w:type="spellEnd"/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proofErr w:type="spellStart"/>
      <w:r w:rsidRPr="00E17C3E">
        <w:rPr>
          <w:rFonts w:ascii="Arial" w:hAnsi="Arial" w:cs="Arial"/>
          <w:color w:val="000000" w:themeColor="text1"/>
          <w:sz w:val="21"/>
          <w:szCs w:val="21"/>
        </w:rPr>
        <w:t>Creditu</w:t>
      </w:r>
      <w:proofErr w:type="spellEnd"/>
      <w:r w:rsidRPr="00E17C3E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11A7D47" w14:textId="77777777" w:rsidR="00D46689" w:rsidRDefault="00D46689" w:rsidP="00E17C3E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20ED14E8" w14:textId="77777777" w:rsidR="00122FA6" w:rsidRDefault="00122FA6" w:rsidP="00E17C3E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5389DCA9" w14:textId="77777777" w:rsidR="00122FA6" w:rsidRDefault="00122FA6" w:rsidP="00E17C3E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</w:p>
    <w:p w14:paraId="3ABBF83E" w14:textId="24951A25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E17C3E">
        <w:rPr>
          <w:rFonts w:ascii="Arial" w:hAnsi="Arial" w:cs="Arial"/>
          <w:b/>
          <w:bCs/>
          <w:color w:val="000000" w:themeColor="text1"/>
          <w:sz w:val="21"/>
          <w:szCs w:val="21"/>
        </w:rPr>
        <w:lastRenderedPageBreak/>
        <w:t xml:space="preserve">Kam Češi ukládají rezervu: investice </w:t>
      </w:r>
      <w:r w:rsidR="00122FA6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letos poprvé </w:t>
      </w:r>
      <w:r w:rsidRPr="00E17C3E">
        <w:rPr>
          <w:rFonts w:ascii="Arial" w:hAnsi="Arial" w:cs="Arial"/>
          <w:b/>
          <w:bCs/>
          <w:color w:val="000000" w:themeColor="text1"/>
          <w:sz w:val="21"/>
          <w:szCs w:val="21"/>
        </w:rPr>
        <w:t>pře</w:t>
      </w:r>
      <w:r w:rsidR="00DF6E5C">
        <w:rPr>
          <w:rFonts w:ascii="Arial" w:hAnsi="Arial" w:cs="Arial"/>
          <w:b/>
          <w:bCs/>
          <w:color w:val="000000" w:themeColor="text1"/>
          <w:sz w:val="21"/>
          <w:szCs w:val="21"/>
        </w:rPr>
        <w:t>konaly</w:t>
      </w:r>
      <w:r w:rsidRPr="00E17C3E">
        <w:rPr>
          <w:rFonts w:ascii="Arial" w:hAnsi="Arial" w:cs="Arial"/>
          <w:b/>
          <w:bCs/>
          <w:color w:val="000000" w:themeColor="text1"/>
          <w:sz w:val="21"/>
          <w:szCs w:val="21"/>
        </w:rPr>
        <w:t xml:space="preserve"> běžný účet</w:t>
      </w:r>
    </w:p>
    <w:p w14:paraId="0A623F49" w14:textId="47B28B5C" w:rsidR="00DF6E5C" w:rsidRPr="00E17C3E" w:rsidRDefault="00122FA6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DF6E5C">
        <w:rPr>
          <w:rFonts w:ascii="Arial" w:hAnsi="Arial" w:cs="Arial"/>
          <w:color w:val="000000" w:themeColor="text1"/>
          <w:sz w:val="21"/>
          <w:szCs w:val="21"/>
        </w:rPr>
        <w:t xml:space="preserve">Během jediného roku se proměnily preference Čechů při ukládání volných prostředků. Zatímco spořicí účty i investiční produkty posílily svou pozici, běžné účty na významu </w:t>
      </w:r>
      <w:r w:rsidR="00085280">
        <w:rPr>
          <w:rFonts w:ascii="Arial" w:hAnsi="Arial" w:cs="Arial"/>
          <w:color w:val="000000" w:themeColor="text1"/>
          <w:sz w:val="21"/>
          <w:szCs w:val="21"/>
        </w:rPr>
        <w:t>postupně ztrácí</w:t>
      </w:r>
      <w:r w:rsidRPr="00DF6E5C">
        <w:rPr>
          <w:rFonts w:ascii="Arial" w:hAnsi="Arial" w:cs="Arial"/>
          <w:color w:val="000000" w:themeColor="text1"/>
          <w:sz w:val="21"/>
          <w:szCs w:val="21"/>
        </w:rPr>
        <w:t xml:space="preserve">.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Spořicí účet </w:t>
      </w:r>
      <w:r w:rsidR="00DF6E5C" w:rsidRPr="00DF6E5C">
        <w:rPr>
          <w:rFonts w:ascii="Arial" w:hAnsi="Arial" w:cs="Arial"/>
          <w:color w:val="000000" w:themeColor="text1"/>
          <w:sz w:val="21"/>
          <w:szCs w:val="21"/>
        </w:rPr>
        <w:t>si i nadále drží pozici jednoznačně nejvyužívanějšího nástroje pro ukládání finančních rezerv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>. Využívá ho 75 % domácností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 xml:space="preserve">, které nějakou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>rezervu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 xml:space="preserve"> mají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>,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 xml:space="preserve"> zatímco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loni to bylo 72 %. 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>Nejsilnější zastoupení má mezi lidmi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s vysokoškolským (84 %) a středoškolským vzděláním (80 %).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Zásadní </w:t>
      </w:r>
      <w:r w:rsidR="00DF6E5C" w:rsidRPr="00DF6E5C">
        <w:rPr>
          <w:rFonts w:ascii="Arial" w:hAnsi="Arial" w:cs="Arial"/>
          <w:color w:val="000000" w:themeColor="text1"/>
          <w:sz w:val="21"/>
          <w:szCs w:val="21"/>
        </w:rPr>
        <w:t>změna nastala na druhé a třetí příčce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>. Investiční produkty jako místo pro uložení rezervy uvádí 33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> 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>%</w:t>
      </w:r>
      <w:r w:rsidR="00030D12">
        <w:rPr>
          <w:rFonts w:ascii="Arial" w:hAnsi="Arial" w:cs="Arial"/>
          <w:color w:val="000000" w:themeColor="text1"/>
          <w:sz w:val="21"/>
          <w:szCs w:val="21"/>
        </w:rPr>
        <w:t> 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>Čechů a poprvé tak pře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>dstihly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běžný účet, který meziročně klesl z 32 na 29 %. Ještě loni přitom bylo pořadí opačné a běžný účet 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>představoval druhou nejčastější volbu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. </w:t>
      </w:r>
    </w:p>
    <w:p w14:paraId="63C42905" w14:textId="77777777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7436DBFA" w14:textId="16238976" w:rsidR="00DF6E5C" w:rsidRPr="004764B7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336128">
        <w:rPr>
          <w:rFonts w:ascii="Arial" w:hAnsi="Arial" w:cs="Arial"/>
          <w:color w:val="000000" w:themeColor="text1"/>
          <w:sz w:val="21"/>
          <w:szCs w:val="21"/>
        </w:rPr>
        <w:t>Rozdíly mezi skupinami však zůstávají výrazné. Investi</w:t>
      </w:r>
      <w:r w:rsidR="00DF6E5C" w:rsidRPr="00336128">
        <w:rPr>
          <w:rFonts w:ascii="Arial" w:hAnsi="Arial" w:cs="Arial"/>
          <w:color w:val="000000" w:themeColor="text1"/>
          <w:sz w:val="21"/>
          <w:szCs w:val="21"/>
        </w:rPr>
        <w:t>ční produkty</w:t>
      </w:r>
      <w:r w:rsidRPr="00336128">
        <w:rPr>
          <w:rFonts w:ascii="Arial" w:hAnsi="Arial" w:cs="Arial"/>
          <w:color w:val="000000" w:themeColor="text1"/>
          <w:sz w:val="21"/>
          <w:szCs w:val="21"/>
        </w:rPr>
        <w:t xml:space="preserve"> jako </w:t>
      </w:r>
      <w:r w:rsidR="00DF6E5C" w:rsidRPr="00336128">
        <w:rPr>
          <w:rFonts w:ascii="Arial" w:hAnsi="Arial" w:cs="Arial"/>
          <w:color w:val="000000" w:themeColor="text1"/>
          <w:sz w:val="21"/>
          <w:szCs w:val="21"/>
        </w:rPr>
        <w:t>součást své finanční rezervy nejčastěji</w:t>
      </w:r>
      <w:r w:rsidRPr="00336128">
        <w:rPr>
          <w:rFonts w:ascii="Arial" w:hAnsi="Arial" w:cs="Arial"/>
          <w:color w:val="000000" w:themeColor="text1"/>
          <w:sz w:val="21"/>
          <w:szCs w:val="21"/>
        </w:rPr>
        <w:t xml:space="preserve"> zmiňují lidé ve věku 27–35 let (44 %), obyvatelé Prahy (45 %) a měst nad 100 tisíc obyvatel (39 %). Běžný účet naopak zůstává typický pro </w:t>
      </w:r>
      <w:r w:rsidR="00DF6E5C" w:rsidRPr="00336128">
        <w:rPr>
          <w:rFonts w:ascii="Arial" w:hAnsi="Arial" w:cs="Arial"/>
          <w:color w:val="000000" w:themeColor="text1"/>
          <w:sz w:val="21"/>
          <w:szCs w:val="21"/>
        </w:rPr>
        <w:t>osoby ve věku</w:t>
      </w:r>
      <w:r w:rsidRPr="00336128">
        <w:rPr>
          <w:rFonts w:ascii="Arial" w:hAnsi="Arial" w:cs="Arial"/>
          <w:color w:val="000000" w:themeColor="text1"/>
          <w:sz w:val="21"/>
          <w:szCs w:val="21"/>
        </w:rPr>
        <w:t xml:space="preserve"> 54–65 let (35 %) a hotovost </w:t>
      </w:r>
      <w:r w:rsidR="00030D12" w:rsidRPr="00336128">
        <w:rPr>
          <w:rFonts w:ascii="Arial" w:hAnsi="Arial" w:cs="Arial"/>
          <w:color w:val="000000" w:themeColor="text1"/>
          <w:sz w:val="21"/>
          <w:szCs w:val="21"/>
        </w:rPr>
        <w:t xml:space="preserve">mají doma uloženou </w:t>
      </w:r>
      <w:r w:rsidR="00ED7B47" w:rsidRPr="00336128">
        <w:rPr>
          <w:rFonts w:ascii="Arial" w:hAnsi="Arial" w:cs="Arial"/>
          <w:color w:val="000000" w:themeColor="text1"/>
          <w:sz w:val="21"/>
          <w:szCs w:val="21"/>
        </w:rPr>
        <w:t xml:space="preserve">spíše </w:t>
      </w:r>
      <w:r w:rsidRPr="00336128">
        <w:rPr>
          <w:rFonts w:ascii="Arial" w:hAnsi="Arial" w:cs="Arial"/>
          <w:color w:val="000000" w:themeColor="text1"/>
          <w:sz w:val="21"/>
          <w:szCs w:val="21"/>
        </w:rPr>
        <w:t>lidé se základním nebo učňovským vzděláním (26 %).</w:t>
      </w:r>
      <w:r w:rsidR="00122FA6" w:rsidRPr="00336128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7125A79A" w14:textId="77777777" w:rsidR="00DF6E5C" w:rsidRPr="00E17C3E" w:rsidRDefault="00DF6E5C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554C94BD" w14:textId="6BAC8AC9" w:rsidR="00030D12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„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>Letošní výsledky průzkumu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>ukazují na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>rostoucí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finanční gramotnost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ve společnosti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. Lidé 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>si stále více uvědomují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, že peníze 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ponechané 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bez 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>zhodnocení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ztrácejí 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svou hodnotu vlivem 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inflac</w:t>
      </w:r>
      <w:r w:rsidR="00030D12">
        <w:rPr>
          <w:rFonts w:ascii="Arial" w:hAnsi="Arial" w:cs="Arial"/>
          <w:i/>
          <w:iCs/>
          <w:color w:val="000000" w:themeColor="text1"/>
          <w:sz w:val="21"/>
          <w:szCs w:val="21"/>
        </w:rPr>
        <w:t>e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,“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 komentuje Jaroslav Ondrušek</w:t>
      </w:r>
      <w:r w:rsidR="00EB4FEE">
        <w:rPr>
          <w:rFonts w:ascii="Arial" w:hAnsi="Arial" w:cs="Arial"/>
          <w:color w:val="000000" w:themeColor="text1"/>
          <w:sz w:val="21"/>
          <w:szCs w:val="21"/>
        </w:rPr>
        <w:t>.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B4FEE" w:rsidRPr="00030D12">
        <w:rPr>
          <w:rFonts w:ascii="Arial" w:hAnsi="Arial" w:cs="Arial"/>
          <w:color w:val="000000" w:themeColor="text1"/>
          <w:sz w:val="21"/>
          <w:szCs w:val="21"/>
        </w:rPr>
        <w:t>Zároveň však upozorňuje, že finanční rezerva a investice mají odlišný účel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 xml:space="preserve">: 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„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>F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inanční rezerva musí být dostupná okamžitě a v plné výši, protože slouží k řešení nečekaných situací. 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>I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nvestice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EB4FEE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jsou naopak určeny k dlouhodobému zhodnocování majetku a naplňování větších cílů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, jako je 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pořízení 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vlastní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>ho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bydlení nebo 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>zajištění na stáří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. Pokud si domácnost drží celou rezervu v investicích, může se snadno stát, že bude </w:t>
      </w:r>
      <w:r w:rsid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náhle 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>peníze potřebovat v době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>,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>kdy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nebude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vhodné investice </w:t>
      </w:r>
      <w:r w:rsidRPr="00E17C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prodávat. </w:t>
      </w:r>
      <w:r w:rsidR="00EB4FEE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Správný postup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>, který představuje základ zdravých financí,</w:t>
      </w:r>
      <w:r w:rsidR="00EB4FEE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je proto poměrně jednoduchý</w:t>
      </w:r>
      <w:r w:rsidR="00EB4FEE" w:rsidRPr="00FF4E3E">
        <w:rPr>
          <w:rFonts w:ascii="Arial" w:hAnsi="Arial" w:cs="Arial"/>
          <w:color w:val="000000" w:themeColor="text1"/>
          <w:sz w:val="21"/>
          <w:szCs w:val="21"/>
        </w:rPr>
        <w:t>.</w:t>
      </w:r>
      <w:r w:rsidR="00EB4FEE" w:rsidRPr="00EB4FEE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EB4FEE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Nejprve je vhodné vytvořit si finanční rezervu ve výši tří až šesti měsíčních výdajů na spořicím účtu nebo jiném snadno dostupném produktu. </w:t>
      </w:r>
      <w:r w:rsidR="00EB4FE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Prostředky nad tento rámec by pak měly </w:t>
      </w:r>
      <w:r w:rsidR="00EB4FEE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směřovat do investic.</w:t>
      </w:r>
      <w:r w:rsidR="00EB4FEE" w:rsidRPr="00E17C3E">
        <w:rPr>
          <w:rFonts w:ascii="Arial" w:hAnsi="Arial" w:cs="Arial"/>
          <w:color w:val="000000" w:themeColor="text1"/>
          <w:sz w:val="21"/>
          <w:szCs w:val="21"/>
        </w:rPr>
        <w:t>“</w:t>
      </w:r>
    </w:p>
    <w:p w14:paraId="2340AAFD" w14:textId="77777777" w:rsidR="00EB4FEE" w:rsidRPr="00E17C3E" w:rsidRDefault="00EB4FE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04C8FA9A" w14:textId="77777777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E17C3E">
        <w:rPr>
          <w:rFonts w:ascii="Arial" w:hAnsi="Arial" w:cs="Arial"/>
          <w:b/>
          <w:bCs/>
          <w:color w:val="000000" w:themeColor="text1"/>
          <w:sz w:val="21"/>
          <w:szCs w:val="21"/>
        </w:rPr>
        <w:t>Investuje už většina Čechů, vedou ETF fondy</w:t>
      </w:r>
    </w:p>
    <w:p w14:paraId="2D429A2C" w14:textId="2EA76859" w:rsidR="00E17C3E" w:rsidRPr="00E17C3E" w:rsidRDefault="009A7231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9A7231">
        <w:rPr>
          <w:rFonts w:ascii="Arial" w:hAnsi="Arial" w:cs="Arial"/>
          <w:color w:val="000000" w:themeColor="text1"/>
          <w:sz w:val="21"/>
          <w:szCs w:val="21"/>
        </w:rPr>
        <w:t>Podíl investorů v průzkumu poprvé překročil polovinu respondentů.</w:t>
      </w:r>
      <w:r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="0078781F">
        <w:rPr>
          <w:rFonts w:ascii="Arial" w:hAnsi="Arial" w:cs="Arial"/>
          <w:color w:val="000000" w:themeColor="text1"/>
          <w:sz w:val="21"/>
          <w:szCs w:val="21"/>
        </w:rPr>
        <w:t>Některý z i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>nvestiční</w:t>
      </w:r>
      <w:r w:rsidR="0078781F">
        <w:rPr>
          <w:rFonts w:ascii="Arial" w:hAnsi="Arial" w:cs="Arial"/>
          <w:color w:val="000000" w:themeColor="text1"/>
          <w:sz w:val="21"/>
          <w:szCs w:val="21"/>
        </w:rPr>
        <w:t>ch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produkt</w:t>
      </w:r>
      <w:r w:rsidR="0078781F">
        <w:rPr>
          <w:rFonts w:ascii="Arial" w:hAnsi="Arial" w:cs="Arial"/>
          <w:color w:val="000000" w:themeColor="text1"/>
          <w:sz w:val="21"/>
          <w:szCs w:val="21"/>
        </w:rPr>
        <w:t>ů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dnes využívá 53 % lidí, loni to bylo 49 %. Meziročně tedy přibyly čtyři procentní body a počet neinvestujících</w:t>
      </w:r>
      <w:r w:rsidR="0078781F">
        <w:rPr>
          <w:rFonts w:ascii="Arial" w:hAnsi="Arial" w:cs="Arial"/>
          <w:color w:val="000000" w:themeColor="text1"/>
          <w:sz w:val="21"/>
          <w:szCs w:val="21"/>
        </w:rPr>
        <w:t xml:space="preserve"> naopak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klesl z 51 na 47 %. Žebříček oblíbenosti zůstává stejný jako loni: na prvním místě jsou ETF fondy, následují akcie konkrétních firem, </w:t>
      </w:r>
      <w:r w:rsidR="0078781F">
        <w:rPr>
          <w:rFonts w:ascii="Arial" w:hAnsi="Arial" w:cs="Arial"/>
          <w:color w:val="000000" w:themeColor="text1"/>
          <w:sz w:val="21"/>
          <w:szCs w:val="21"/>
        </w:rPr>
        <w:t xml:space="preserve">investice do 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>nemovitost</w:t>
      </w:r>
      <w:r w:rsidR="0078781F">
        <w:rPr>
          <w:rFonts w:ascii="Arial" w:hAnsi="Arial" w:cs="Arial"/>
          <w:color w:val="000000" w:themeColor="text1"/>
          <w:sz w:val="21"/>
          <w:szCs w:val="21"/>
        </w:rPr>
        <w:t>í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a dluhopisy. Ještě v roce 2025 přitom ETF fondy uvádělo 19 % a akcie konkrétních firem 18 % respondentů, </w:t>
      </w:r>
      <w:r w:rsidR="00350EEC">
        <w:rPr>
          <w:rFonts w:ascii="Arial" w:hAnsi="Arial" w:cs="Arial"/>
          <w:color w:val="000000" w:themeColor="text1"/>
          <w:sz w:val="21"/>
          <w:szCs w:val="21"/>
        </w:rPr>
        <w:t>letos jsou obě kategorie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 o 2 až 3procentní body v</w:t>
      </w:r>
      <w:r w:rsidR="00350EEC">
        <w:rPr>
          <w:rFonts w:ascii="Arial" w:hAnsi="Arial" w:cs="Arial"/>
          <w:color w:val="000000" w:themeColor="text1"/>
          <w:sz w:val="21"/>
          <w:szCs w:val="21"/>
        </w:rPr>
        <w:t>ýš</w:t>
      </w:r>
      <w:r w:rsidR="00905623">
        <w:rPr>
          <w:rFonts w:ascii="Arial" w:hAnsi="Arial" w:cs="Arial"/>
          <w:color w:val="000000" w:themeColor="text1"/>
          <w:sz w:val="21"/>
          <w:szCs w:val="21"/>
        </w:rPr>
        <w:t>e</w:t>
      </w:r>
      <w:r w:rsidR="00E17C3E" w:rsidRPr="00E17C3E">
        <w:rPr>
          <w:rFonts w:ascii="Arial" w:hAnsi="Arial" w:cs="Arial"/>
          <w:color w:val="000000" w:themeColor="text1"/>
          <w:sz w:val="21"/>
          <w:szCs w:val="21"/>
        </w:rPr>
        <w:t xml:space="preserve">. </w:t>
      </w:r>
    </w:p>
    <w:p w14:paraId="0EB573EE" w14:textId="77777777" w:rsidR="0078781F" w:rsidRPr="00E17C3E" w:rsidRDefault="0078781F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6555BCCF" w14:textId="6C5D2C5C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336128">
        <w:rPr>
          <w:rFonts w:ascii="Arial" w:hAnsi="Arial" w:cs="Arial"/>
          <w:color w:val="000000" w:themeColor="text1"/>
          <w:sz w:val="21"/>
          <w:szCs w:val="21"/>
        </w:rPr>
        <w:t xml:space="preserve">Do ETF fondů </w:t>
      </w:r>
      <w:r w:rsidR="00905623" w:rsidRPr="00336128">
        <w:rPr>
          <w:rFonts w:ascii="Arial" w:hAnsi="Arial" w:cs="Arial"/>
          <w:color w:val="000000" w:themeColor="text1"/>
          <w:sz w:val="21"/>
          <w:szCs w:val="21"/>
        </w:rPr>
        <w:t xml:space="preserve">většinou </w:t>
      </w:r>
      <w:r w:rsidRPr="00336128">
        <w:rPr>
          <w:rFonts w:ascii="Arial" w:hAnsi="Arial" w:cs="Arial"/>
          <w:color w:val="000000" w:themeColor="text1"/>
          <w:sz w:val="21"/>
          <w:szCs w:val="21"/>
        </w:rPr>
        <w:t>investují lidé ve věku 27–35 let (28 %), muži (28 %), obyvatelé Prahy (34 %) a domácnosti s příjmem nad 80 000 Kč (41 %). U akcií konkrétních firem je profil investora shodný, navíc se výrazně přidávají nejmladší</w:t>
      </w:r>
      <w:r w:rsidR="00350EEC" w:rsidRPr="00336128">
        <w:rPr>
          <w:rFonts w:ascii="Arial" w:hAnsi="Arial" w:cs="Arial"/>
          <w:color w:val="000000" w:themeColor="text1"/>
          <w:sz w:val="21"/>
          <w:szCs w:val="21"/>
        </w:rPr>
        <w:t xml:space="preserve"> osoby</w:t>
      </w:r>
      <w:r w:rsidRPr="00336128">
        <w:rPr>
          <w:rFonts w:ascii="Arial" w:hAnsi="Arial" w:cs="Arial"/>
          <w:color w:val="000000" w:themeColor="text1"/>
          <w:sz w:val="21"/>
          <w:szCs w:val="21"/>
        </w:rPr>
        <w:t xml:space="preserve"> ve věku 18–26 let (27 %). Do nemovitostí investují častěji vysokoškoláci (23 %) a obyvatelé Prahy a měst nad 100 tisíc obyvatel (19 %), dluhopisy nejčastěji kupují lidé s vysokoškolským vzděláním (22 %).</w:t>
      </w:r>
      <w:r w:rsidR="00350EEC" w:rsidRPr="00336128">
        <w:rPr>
          <w:rFonts w:ascii="Arial" w:hAnsi="Arial" w:cs="Arial"/>
          <w:color w:val="000000" w:themeColor="text1"/>
          <w:sz w:val="21"/>
          <w:szCs w:val="21"/>
        </w:rPr>
        <w:t xml:space="preserve"> </w:t>
      </w:r>
      <w:r w:rsidRPr="00336128">
        <w:rPr>
          <w:rFonts w:ascii="Arial" w:hAnsi="Arial" w:cs="Arial"/>
          <w:color w:val="000000" w:themeColor="text1"/>
          <w:sz w:val="21"/>
          <w:szCs w:val="21"/>
        </w:rPr>
        <w:t>Zbývajících 47 % Čechů neinvestuje vůbec</w:t>
      </w:r>
      <w:r w:rsidR="00905623" w:rsidRPr="00336128">
        <w:rPr>
          <w:rFonts w:ascii="Arial" w:hAnsi="Arial" w:cs="Arial"/>
          <w:color w:val="000000" w:themeColor="text1"/>
          <w:sz w:val="21"/>
          <w:szCs w:val="21"/>
        </w:rPr>
        <w:t xml:space="preserve">: většinou se jedná </w:t>
      </w:r>
      <w:r w:rsidRPr="00336128">
        <w:rPr>
          <w:rFonts w:ascii="Arial" w:hAnsi="Arial" w:cs="Arial"/>
          <w:color w:val="000000" w:themeColor="text1"/>
          <w:sz w:val="21"/>
          <w:szCs w:val="21"/>
        </w:rPr>
        <w:t>o stejné skupiny, které mají nejnižší nebo žádnou finanční rezervu.</w:t>
      </w:r>
      <w:r w:rsidR="00FF4E3E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25394D82" w14:textId="77777777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3979FF6E" w14:textId="57F832BE" w:rsidR="00E17C3E" w:rsidRPr="00E17C3E" w:rsidRDefault="00E17C3E" w:rsidP="00E17C3E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E17C3E">
        <w:rPr>
          <w:rFonts w:ascii="Arial" w:hAnsi="Arial" w:cs="Arial"/>
          <w:b/>
          <w:bCs/>
          <w:color w:val="000000" w:themeColor="text1"/>
          <w:sz w:val="21"/>
          <w:szCs w:val="21"/>
        </w:rPr>
        <w:t>Dva konce jedné statistiky</w:t>
      </w:r>
    </w:p>
    <w:p w14:paraId="26A8E784" w14:textId="69842AB1" w:rsidR="00905623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„</w:t>
      </w:r>
      <w:r w:rsidR="00905623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Výsledky průzkumu odhalují výrazné rozdíly ve finanční kondici českých domácností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. Na jedné straně jsou lidé, kteří už řeší výnos</w:t>
      </w:r>
      <w:r w:rsidR="00905623">
        <w:rPr>
          <w:rFonts w:ascii="Arial" w:hAnsi="Arial" w:cs="Arial"/>
          <w:i/>
          <w:iCs/>
          <w:color w:val="000000" w:themeColor="text1"/>
          <w:sz w:val="21"/>
          <w:szCs w:val="21"/>
        </w:rPr>
        <w:t>y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, složení </w:t>
      </w:r>
      <w:r w:rsidR="00905623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investičního 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portfolia a dlouhodobé </w:t>
      </w:r>
      <w:r w:rsidR="00905623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finanční 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cíle. Na druhé se nacház</w:t>
      </w:r>
      <w:r w:rsidR="00905623">
        <w:rPr>
          <w:rFonts w:ascii="Arial" w:hAnsi="Arial" w:cs="Arial"/>
          <w:i/>
          <w:iCs/>
          <w:color w:val="000000" w:themeColor="text1"/>
          <w:sz w:val="21"/>
          <w:szCs w:val="21"/>
        </w:rPr>
        <w:t>ejí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domácnosti, které </w:t>
      </w:r>
      <w:r w:rsidR="00905623">
        <w:rPr>
          <w:rFonts w:ascii="Arial" w:hAnsi="Arial" w:cs="Arial"/>
          <w:i/>
          <w:iCs/>
          <w:color w:val="000000" w:themeColor="text1"/>
          <w:sz w:val="21"/>
          <w:szCs w:val="21"/>
        </w:rPr>
        <w:t>si nedokáž</w:t>
      </w:r>
      <w:r w:rsid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ou </w:t>
      </w:r>
      <w:r w:rsidR="00905623">
        <w:rPr>
          <w:rFonts w:ascii="Arial" w:hAnsi="Arial" w:cs="Arial"/>
          <w:i/>
          <w:iCs/>
          <w:color w:val="000000" w:themeColor="text1"/>
          <w:sz w:val="21"/>
          <w:szCs w:val="21"/>
        </w:rPr>
        <w:t>vytvořit ani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rezervu ve výši jednoho měsíčního příjmu. Právě dostupná finanční rezerva totiž </w:t>
      </w:r>
      <w:r w:rsidR="0060170B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představuje základ finanční stability</w:t>
      </w:r>
      <w:r w:rsidR="0060170B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. </w:t>
      </w:r>
      <w:r w:rsidR="0060170B"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Dokáže zabránit tomu</w:t>
      </w:r>
      <w:r w:rsidR="0060170B" w:rsidRPr="00905623">
        <w:rPr>
          <w:rFonts w:ascii="Arial" w:hAnsi="Arial" w:cs="Arial"/>
          <w:color w:val="000000" w:themeColor="text1"/>
          <w:sz w:val="21"/>
          <w:szCs w:val="21"/>
        </w:rPr>
        <w:t xml:space="preserve">, 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aby se běžná nepříjemnost, jako je porucha auta</w:t>
      </w:r>
      <w:r w:rsidR="0060170B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, 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>pračky</w:t>
      </w:r>
      <w:r w:rsidR="0060170B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nebo dočasný výpadek příjmu</w:t>
      </w:r>
      <w:r w:rsidRPr="00FF4E3E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, musela řešit drahým </w:t>
      </w:r>
      <w:r w:rsidR="0060170B">
        <w:rPr>
          <w:rFonts w:ascii="Arial" w:hAnsi="Arial" w:cs="Arial"/>
          <w:i/>
          <w:iCs/>
          <w:color w:val="000000" w:themeColor="text1"/>
          <w:sz w:val="21"/>
          <w:szCs w:val="21"/>
        </w:rPr>
        <w:t>úvěrem</w:t>
      </w:r>
      <w:r w:rsidRPr="00E17C3E">
        <w:rPr>
          <w:rFonts w:ascii="Arial" w:hAnsi="Arial" w:cs="Arial"/>
          <w:color w:val="000000" w:themeColor="text1"/>
          <w:sz w:val="21"/>
          <w:szCs w:val="21"/>
        </w:rPr>
        <w:t>,“ uzavírá Jaroslav Ondrušek</w:t>
      </w:r>
      <w:r w:rsidR="00DF6E5C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371BC4E3" w14:textId="77777777" w:rsidR="00905623" w:rsidRPr="00E17C3E" w:rsidRDefault="00905623" w:rsidP="00E17C3E">
      <w:pPr>
        <w:spacing w:after="0" w:line="276" w:lineRule="auto"/>
        <w:rPr>
          <w:rFonts w:ascii="Arial" w:hAnsi="Arial" w:cs="Arial"/>
          <w:color w:val="000000" w:themeColor="text1"/>
          <w:sz w:val="21"/>
          <w:szCs w:val="21"/>
        </w:rPr>
      </w:pPr>
    </w:p>
    <w:p w14:paraId="31705E3A" w14:textId="77777777" w:rsidR="00E17C3E" w:rsidRPr="00E17C3E" w:rsidRDefault="00E17C3E" w:rsidP="00E17C3E">
      <w:pPr>
        <w:spacing w:after="0" w:line="276" w:lineRule="auto"/>
        <w:rPr>
          <w:rFonts w:ascii="Arial" w:hAnsi="Arial" w:cs="Arial"/>
          <w:color w:val="000000" w:themeColor="text1"/>
          <w:sz w:val="18"/>
          <w:szCs w:val="18"/>
        </w:rPr>
      </w:pPr>
      <w:r w:rsidRPr="00E17C3E">
        <w:rPr>
          <w:rFonts w:ascii="Arial" w:hAnsi="Arial" w:cs="Arial"/>
          <w:color w:val="000000" w:themeColor="text1"/>
          <w:sz w:val="18"/>
          <w:szCs w:val="18"/>
        </w:rPr>
        <w:t xml:space="preserve">* </w:t>
      </w:r>
      <w:r w:rsidRPr="00E17C3E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Sběr dat byl realizován v červnu 2026 prostřednictvím aplikace Instant </w:t>
      </w:r>
      <w:proofErr w:type="spellStart"/>
      <w:r w:rsidRPr="00E17C3E">
        <w:rPr>
          <w:rFonts w:ascii="Arial" w:hAnsi="Arial" w:cs="Arial"/>
          <w:i/>
          <w:iCs/>
          <w:color w:val="000000" w:themeColor="text1"/>
          <w:sz w:val="18"/>
          <w:szCs w:val="18"/>
        </w:rPr>
        <w:t>Research</w:t>
      </w:r>
      <w:proofErr w:type="spellEnd"/>
      <w:r w:rsidRPr="00E17C3E">
        <w:rPr>
          <w:rFonts w:ascii="Arial" w:hAnsi="Arial" w:cs="Arial"/>
          <w:i/>
          <w:iCs/>
          <w:color w:val="000000" w:themeColor="text1"/>
          <w:sz w:val="18"/>
          <w:szCs w:val="18"/>
        </w:rPr>
        <w:t xml:space="preserve"> agentury Ipsos na reprezentativním vzorku 1 026 respondentů ve věku 18–65 let, česká online populace. Otázky na způsob uložení a meziroční vývoj rezervy byly zjišťovány u respondentů s rezervou (N = 916).</w:t>
      </w:r>
    </w:p>
    <w:p w14:paraId="5C59DCC8" w14:textId="77777777" w:rsidR="00E17C3E" w:rsidRPr="00A8411C" w:rsidRDefault="00E17C3E" w:rsidP="008C2B5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01A1FB8" w14:textId="77777777" w:rsidR="00336128" w:rsidRDefault="00336128" w:rsidP="005916E5">
      <w:pPr>
        <w:rPr>
          <w:rFonts w:ascii="Arial" w:hAnsi="Arial" w:cs="Arial"/>
          <w:sz w:val="20"/>
          <w:szCs w:val="20"/>
        </w:rPr>
      </w:pPr>
    </w:p>
    <w:p w14:paraId="3EAA818F" w14:textId="77777777" w:rsidR="00336128" w:rsidRDefault="00336128" w:rsidP="005916E5">
      <w:pPr>
        <w:rPr>
          <w:rFonts w:ascii="Arial" w:hAnsi="Arial" w:cs="Arial"/>
          <w:sz w:val="20"/>
          <w:szCs w:val="20"/>
        </w:rPr>
      </w:pPr>
    </w:p>
    <w:p w14:paraId="5ECFA760" w14:textId="77777777" w:rsidR="00336128" w:rsidRDefault="00336128" w:rsidP="005916E5">
      <w:pPr>
        <w:rPr>
          <w:rFonts w:ascii="Arial" w:hAnsi="Arial" w:cs="Arial"/>
          <w:sz w:val="20"/>
          <w:szCs w:val="20"/>
        </w:rPr>
      </w:pPr>
    </w:p>
    <w:p w14:paraId="186E2737" w14:textId="2E391461" w:rsidR="005916E5" w:rsidRDefault="00435015" w:rsidP="005916E5">
      <w:pPr>
        <w:rPr>
          <w:rFonts w:ascii="Arial" w:hAnsi="Arial" w:cs="Arial"/>
          <w:sz w:val="20"/>
          <w:szCs w:val="20"/>
        </w:rPr>
      </w:pPr>
      <w:r w:rsidRPr="00A8411C">
        <w:rPr>
          <w:rFonts w:ascii="Arial" w:hAnsi="Arial" w:cs="Arial"/>
          <w:sz w:val="20"/>
          <w:szCs w:val="20"/>
        </w:rPr>
        <w:t>Kateřina Dobešová</w:t>
      </w:r>
      <w:r w:rsidRPr="00A8411C">
        <w:rPr>
          <w:rFonts w:ascii="Arial" w:hAnsi="Arial" w:cs="Arial"/>
          <w:sz w:val="20"/>
          <w:szCs w:val="20"/>
        </w:rPr>
        <w:br/>
        <w:t xml:space="preserve">Tisková mluvčí </w:t>
      </w:r>
      <w:proofErr w:type="spellStart"/>
      <w:r w:rsidRPr="00A8411C">
        <w:rPr>
          <w:rFonts w:ascii="Arial" w:hAnsi="Arial" w:cs="Arial"/>
          <w:sz w:val="20"/>
          <w:szCs w:val="20"/>
        </w:rPr>
        <w:t>Home</w:t>
      </w:r>
      <w:proofErr w:type="spellEnd"/>
      <w:r w:rsidRPr="00A8411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8411C">
        <w:rPr>
          <w:rFonts w:ascii="Arial" w:hAnsi="Arial" w:cs="Arial"/>
          <w:sz w:val="20"/>
          <w:szCs w:val="20"/>
        </w:rPr>
        <w:t>Credit</w:t>
      </w:r>
      <w:proofErr w:type="spellEnd"/>
      <w:r w:rsidRPr="00A8411C">
        <w:rPr>
          <w:rFonts w:ascii="Arial" w:hAnsi="Arial" w:cs="Arial"/>
          <w:sz w:val="20"/>
          <w:szCs w:val="20"/>
        </w:rPr>
        <w:t xml:space="preserve"> ČR a SR</w:t>
      </w:r>
      <w:r w:rsidRPr="00A8411C">
        <w:rPr>
          <w:rFonts w:ascii="Arial" w:hAnsi="Arial" w:cs="Arial"/>
          <w:sz w:val="20"/>
          <w:szCs w:val="20"/>
        </w:rPr>
        <w:br/>
        <w:t xml:space="preserve">Tel.: </w:t>
      </w:r>
      <w:hyperlink r:id="rId11" w:history="1">
        <w:r w:rsidRPr="00A8411C">
          <w:rPr>
            <w:rStyle w:val="Hypertextovodkaz"/>
            <w:rFonts w:ascii="Arial" w:hAnsi="Arial" w:cs="Arial"/>
            <w:sz w:val="20"/>
            <w:szCs w:val="20"/>
          </w:rPr>
          <w:t>+ 420 736 473 813</w:t>
        </w:r>
        <w:r w:rsidRPr="00A8411C">
          <w:rPr>
            <w:rStyle w:val="Hypertextovodkaz"/>
            <w:rFonts w:ascii="Arial" w:hAnsi="Arial" w:cs="Arial"/>
            <w:sz w:val="20"/>
            <w:szCs w:val="20"/>
          </w:rPr>
          <w:br/>
        </w:r>
      </w:hyperlink>
      <w:r w:rsidRPr="00A8411C">
        <w:rPr>
          <w:rFonts w:ascii="Arial" w:hAnsi="Arial" w:cs="Arial"/>
          <w:sz w:val="20"/>
          <w:szCs w:val="20"/>
        </w:rPr>
        <w:t xml:space="preserve">E-mail: </w:t>
      </w:r>
      <w:hyperlink r:id="rId12" w:history="1">
        <w:r w:rsidRPr="00A8411C">
          <w:rPr>
            <w:rStyle w:val="Hypertextovodkaz"/>
            <w:rFonts w:ascii="Arial" w:hAnsi="Arial" w:cs="Arial"/>
            <w:sz w:val="20"/>
            <w:szCs w:val="20"/>
          </w:rPr>
          <w:t>katerina.dobesova@homecredit.cz</w:t>
        </w:r>
      </w:hyperlink>
    </w:p>
    <w:p w14:paraId="14949D28" w14:textId="77777777" w:rsidR="00336128" w:rsidRDefault="00336128" w:rsidP="008C2B5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</w:p>
    <w:p w14:paraId="502CC5F0" w14:textId="253F9DC7" w:rsidR="008C2B57" w:rsidRPr="008C2B57" w:rsidRDefault="008C2B57" w:rsidP="008C2B5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kern w:val="0"/>
          <w:sz w:val="20"/>
          <w:szCs w:val="20"/>
          <w:lang w:eastAsia="cs-CZ"/>
          <w14:ligatures w14:val="none"/>
        </w:rPr>
      </w:pPr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Poznámka pro editory:</w:t>
      </w:r>
    </w:p>
    <w:p w14:paraId="60B25FA1" w14:textId="77777777" w:rsidR="008C2B57" w:rsidRPr="008C2B57" w:rsidRDefault="008C2B57" w:rsidP="008C2B57">
      <w:pPr>
        <w:shd w:val="clear" w:color="auto" w:fill="FFFFFF"/>
        <w:spacing w:after="100" w:afterAutospacing="1" w:line="240" w:lineRule="auto"/>
        <w:rPr>
          <w:rStyle w:val="Hypertextovodkaz"/>
          <w:rFonts w:ascii="Arial" w:hAnsi="Arial" w:cs="Arial"/>
          <w:sz w:val="20"/>
          <w:szCs w:val="20"/>
        </w:rPr>
      </w:pPr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 xml:space="preserve">O společnosti </w:t>
      </w:r>
      <w:proofErr w:type="spellStart"/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Home</w:t>
      </w:r>
      <w:proofErr w:type="spellEnd"/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Credit</w:t>
      </w:r>
      <w:proofErr w:type="spellEnd"/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 xml:space="preserve"> a.s.</w:t>
      </w:r>
      <w:r w:rsidRPr="008C2B57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br/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Home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Credit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a.s. je česká finanční společnost založená v roce 1997. Od roku 2023 je dceřinou společností Air Bank a.s., přičemž obě značky na trhu fungují samostatně.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Home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Credit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poskytuje spotřebitelské financování včetně nákupů na splátky, hotovostních půjček, konsolidací, financování aut, podnikatelských úvěrů i operativního leasingu elektronických zařízení. Společnost je zapsaná u České národní banky jako platební instituce a nebankovní poskytovatel spotřebitelského úvěru. V Česku poskytl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Home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Credit</w:t>
      </w:r>
      <w:proofErr w:type="spellEnd"/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v roce 2025 úvěry v celkové výši 21,2 miliardy korun a pravidelně se umisťuje v čele nebankovních společností v </w:t>
      </w:r>
      <w:hyperlink r:id="rId13" w:history="1">
        <w:r w:rsidRPr="008C2B57">
          <w:rPr>
            <w:rStyle w:val="Hypertextovodkaz"/>
            <w:rFonts w:ascii="Arial" w:eastAsia="Times New Roman" w:hAnsi="Arial" w:cs="Arial"/>
            <w:kern w:val="0"/>
            <w:sz w:val="20"/>
            <w:szCs w:val="20"/>
            <w:lang w:eastAsia="cs-CZ"/>
            <w14:ligatures w14:val="none"/>
          </w:rPr>
          <w:t>Indexu odpovědného úvěrování</w:t>
        </w:r>
      </w:hyperlink>
      <w:r w:rsidRPr="008C2B57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 xml:space="preserve"> organizace Člověk v tísni. Více na </w:t>
      </w:r>
      <w:hyperlink r:id="rId14" w:tgtFrame="_blank" w:history="1">
        <w:r w:rsidRPr="008C2B57">
          <w:rPr>
            <w:rStyle w:val="Hypertextovodkaz"/>
            <w:rFonts w:ascii="Arial" w:hAnsi="Arial" w:cs="Arial"/>
            <w:sz w:val="20"/>
            <w:szCs w:val="20"/>
          </w:rPr>
          <w:t>www.homecredit.cz</w:t>
        </w:r>
      </w:hyperlink>
    </w:p>
    <w:p w14:paraId="253374CD" w14:textId="54E317F6" w:rsidR="008C2B57" w:rsidRPr="005916E5" w:rsidRDefault="00353E03" w:rsidP="00353E03">
      <w:pP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</w:pPr>
      <w:r w:rsidRPr="00353E0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Skupina PPF </w:t>
      </w:r>
      <w:r w:rsidRPr="00353E03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je soukromý mezinárodní investiční holding s různorodým portfoliem aktiv. Působí ve 25 zemích a investuje v mnoha odvětvích, včetně telekomunikací, médií, finančních služeb, nemovitostí, strojírenství a e-</w:t>
      </w:r>
      <w:proofErr w:type="spellStart"/>
      <w:r w:rsidRPr="00353E03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commerce</w:t>
      </w:r>
      <w:proofErr w:type="spellEnd"/>
      <w:r w:rsidRPr="00353E03">
        <w:rPr>
          <w:rFonts w:ascii="Arial" w:eastAsia="Times New Roman" w:hAnsi="Arial" w:cs="Arial"/>
          <w:color w:val="000000"/>
          <w:kern w:val="0"/>
          <w:sz w:val="20"/>
          <w:szCs w:val="20"/>
          <w:lang w:eastAsia="cs-CZ"/>
          <w14:ligatures w14:val="none"/>
        </w:rPr>
        <w:t>. Skupina vlastní aktiva ve výši 42,6 miliardy eur a celosvětově zaměstnává 37 tisíc lidí (k 31. prosinci 2025).</w:t>
      </w:r>
      <w:r w:rsidRPr="00353E0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cs-CZ"/>
          <w14:ligatures w14:val="none"/>
        </w:rPr>
        <w:t> </w:t>
      </w:r>
    </w:p>
    <w:sectPr w:rsidR="008C2B57" w:rsidRPr="005916E5" w:rsidSect="00A03809">
      <w:headerReference w:type="default" r:id="rId15"/>
      <w:footerReference w:type="even" r:id="rId16"/>
      <w:footerReference w:type="first" r:id="rId17"/>
      <w:pgSz w:w="11906" w:h="16838"/>
      <w:pgMar w:top="1682" w:right="707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0CA6" w14:textId="77777777" w:rsidR="00146B3C" w:rsidRDefault="00146B3C" w:rsidP="00DE7D53">
      <w:pPr>
        <w:spacing w:after="0" w:line="240" w:lineRule="auto"/>
      </w:pPr>
      <w:r>
        <w:separator/>
      </w:r>
    </w:p>
  </w:endnote>
  <w:endnote w:type="continuationSeparator" w:id="0">
    <w:p w14:paraId="53806364" w14:textId="77777777" w:rsidR="00146B3C" w:rsidRDefault="00146B3C" w:rsidP="00DE7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9A98" w14:textId="77777777" w:rsidR="005B650F" w:rsidRDefault="005B65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FE9C744" wp14:editId="168E316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1532819178" name="Textové pole 8" descr="Klasifikační stupeň tohoto dokumentu je interní (Internal). Dokument je určen pro zaměstnance nebo spolupracovníky. Byl vytvořen a je vlastněn společností Home Credit a.s. / Home Credit Slovakia, a.s.">
                <a:extLst xmlns:a="http://schemas.openxmlformats.org/drawingml/2006/main">
                  <a:ext uri="{FF2B5EF4-FFF2-40B4-BE49-F238E27FC236}">
                    <a16:creationId xmlns:a16="http://schemas.microsoft.com/office/drawing/2014/main" id="{853B1437-6D20-475E-8508-C583854C85B9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192291" w14:textId="77777777" w:rsidR="005B650F" w:rsidRPr="001556AB" w:rsidRDefault="005B650F" w:rsidP="001556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556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Klasifikační stupeň tohoto dokumentu je interní (Internal). Dokument je určen pro zaměstnance nebo spolupracovníky. Byl vytvořen a je vlastněn společností Home Credit a.s. / Home Credit Slovakia, a.s.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9C744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alt="Klasifikační stupeň tohoto dokumentu je interní (Internal). Dokument je určen pro zaměstnance nebo spolupracovníky. Byl vytvořen a je vlastněn společností Home Credit a.s. / Home Credit Slovakia, a.s." style="position:absolute;margin-left:0;margin-top:0;width:34.95pt;height:34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5192291" w14:textId="77777777" w:rsidR="005B650F" w:rsidRPr="001556AB" w:rsidRDefault="005B650F" w:rsidP="001556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556A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Klasifikační stupeň tohoto dokumentu je interní (Internal). Dokument je určen pro zaměstnance nebo spolupracovníky. Byl vytvořen a je vlastněn společností Home Credit a.s. / Home Credit Slovakia, a.s.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1D4A" w14:textId="77777777" w:rsidR="005B650F" w:rsidRDefault="005B650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80B0580" wp14:editId="09DEF6B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350" b="0"/>
              <wp:wrapNone/>
              <wp:docPr id="1398170525" name="Textové pole 7" descr="Klasifikační stupeň tohoto dokumentu je interní (Internal). Dokument je určen pro zaměstnance nebo spolupracovníky. Byl vytvořen a je vlastněn společností Home Credit a.s. / Home Credit Slovakia, a.s.">
                <a:extLst xmlns:a="http://schemas.openxmlformats.org/drawingml/2006/main">
                  <a:ext uri="{FF2B5EF4-FFF2-40B4-BE49-F238E27FC236}">
                    <a16:creationId xmlns:a16="http://schemas.microsoft.com/office/drawing/2014/main" id="{498F7288-1FA0-4AE1-880D-0781C399A87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FED2B" w14:textId="77777777" w:rsidR="005B650F" w:rsidRPr="001556AB" w:rsidRDefault="005B650F" w:rsidP="001556A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556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Klasifikační stupeň tohoto dokumentu je interní (Internal). Dokument je určen pro zaměstnance nebo spolupracovníky. Byl vytvořen a je vlastněn společností Home Credit a.s. / Home Credit Slovakia, a.s.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0B0580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7" type="#_x0000_t202" alt="Klasifikační stupeň tohoto dokumentu je interní (Internal). Dokument je určen pro zaměstnance nebo spolupracovníky. Byl vytvořen a je vlastněn společností Home Credit a.s. / Home Credit Slovakia, a.s." style="position:absolute;margin-left:0;margin-top:0;width:34.95pt;height:34.9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204FED2B" w14:textId="77777777" w:rsidR="005B650F" w:rsidRPr="001556AB" w:rsidRDefault="005B650F" w:rsidP="001556A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1556A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Klasifikační stupeň tohoto dokumentu je interní (Internal). Dokument je určen pro zaměstnance nebo spolupracovníky. Byl vytvořen a je vlastněn společností Home Credit a.s. / Home Credit Slovakia, a.s.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E83E2" w14:textId="77777777" w:rsidR="00146B3C" w:rsidRDefault="00146B3C" w:rsidP="00DE7D53">
      <w:pPr>
        <w:spacing w:after="0" w:line="240" w:lineRule="auto"/>
      </w:pPr>
      <w:r>
        <w:separator/>
      </w:r>
    </w:p>
  </w:footnote>
  <w:footnote w:type="continuationSeparator" w:id="0">
    <w:p w14:paraId="3A021AB1" w14:textId="77777777" w:rsidR="00146B3C" w:rsidRDefault="00146B3C" w:rsidP="00DE7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927C2" w14:textId="77777777" w:rsidR="005B650F" w:rsidRDefault="005B650F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5E8828" wp14:editId="059A3B21">
          <wp:simplePos x="0" y="0"/>
          <wp:positionH relativeFrom="column">
            <wp:posOffset>3214370</wp:posOffset>
          </wp:positionH>
          <wp:positionV relativeFrom="paragraph">
            <wp:posOffset>107950</wp:posOffset>
          </wp:positionV>
          <wp:extent cx="3431540" cy="289560"/>
          <wp:effectExtent l="0" t="0" r="0" b="0"/>
          <wp:wrapNone/>
          <wp:docPr id="911057066" name="Obrázek 911057066" descr="Obsah obrázku Písmo, Grafika, grafický design, text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E202A12B-4DEC-4652-B040-5064456957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580602" name="Obrázek 2" descr="Obsah obrázku Písmo, Grafika, grafický design,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1540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8DB173D" wp14:editId="5817461E">
          <wp:simplePos x="0" y="0"/>
          <wp:positionH relativeFrom="column">
            <wp:posOffset>-126365</wp:posOffset>
          </wp:positionH>
          <wp:positionV relativeFrom="paragraph">
            <wp:posOffset>-149860</wp:posOffset>
          </wp:positionV>
          <wp:extent cx="1136015" cy="781050"/>
          <wp:effectExtent l="0" t="0" r="0" b="0"/>
          <wp:wrapNone/>
          <wp:docPr id="1853721685" name="Obrázek 1853721685" descr="Obsah obrázku text, Písmo, Grafika, logo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08E95E48-1901-4412-8042-4CFAD787F0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683866" name="Obrázek 1" descr="Obsah obrázku text, Písmo, Grafika, logo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601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404D9"/>
    <w:multiLevelType w:val="multilevel"/>
    <w:tmpl w:val="41B2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8A6435"/>
    <w:multiLevelType w:val="hybridMultilevel"/>
    <w:tmpl w:val="34C03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51D55"/>
    <w:multiLevelType w:val="multilevel"/>
    <w:tmpl w:val="14F42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B0A39EB"/>
    <w:multiLevelType w:val="hybridMultilevel"/>
    <w:tmpl w:val="3FB8D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27877"/>
    <w:multiLevelType w:val="multilevel"/>
    <w:tmpl w:val="92FA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1A6A20"/>
    <w:multiLevelType w:val="multilevel"/>
    <w:tmpl w:val="3266E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619825">
    <w:abstractNumId w:val="0"/>
  </w:num>
  <w:num w:numId="2" w16cid:durableId="1276407067">
    <w:abstractNumId w:val="2"/>
  </w:num>
  <w:num w:numId="3" w16cid:durableId="1790197705">
    <w:abstractNumId w:val="1"/>
  </w:num>
  <w:num w:numId="4" w16cid:durableId="566305748">
    <w:abstractNumId w:val="4"/>
  </w:num>
  <w:num w:numId="5" w16cid:durableId="647705055">
    <w:abstractNumId w:val="5"/>
  </w:num>
  <w:num w:numId="6" w16cid:durableId="767851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20"/>
    <w:rsid w:val="0000244D"/>
    <w:rsid w:val="00002687"/>
    <w:rsid w:val="0000392E"/>
    <w:rsid w:val="00004D35"/>
    <w:rsid w:val="00012217"/>
    <w:rsid w:val="00016DF7"/>
    <w:rsid w:val="00020001"/>
    <w:rsid w:val="0002283D"/>
    <w:rsid w:val="000258E4"/>
    <w:rsid w:val="00026914"/>
    <w:rsid w:val="00030D12"/>
    <w:rsid w:val="00033037"/>
    <w:rsid w:val="000337EF"/>
    <w:rsid w:val="00035A92"/>
    <w:rsid w:val="000373B1"/>
    <w:rsid w:val="00041243"/>
    <w:rsid w:val="000417D3"/>
    <w:rsid w:val="00041F00"/>
    <w:rsid w:val="00044AF7"/>
    <w:rsid w:val="00044C8F"/>
    <w:rsid w:val="0005132D"/>
    <w:rsid w:val="000539C5"/>
    <w:rsid w:val="00054154"/>
    <w:rsid w:val="00054B71"/>
    <w:rsid w:val="00063BC3"/>
    <w:rsid w:val="00063EE7"/>
    <w:rsid w:val="00075B39"/>
    <w:rsid w:val="000761CD"/>
    <w:rsid w:val="00081425"/>
    <w:rsid w:val="00083A47"/>
    <w:rsid w:val="00084AAB"/>
    <w:rsid w:val="00085280"/>
    <w:rsid w:val="00090FE1"/>
    <w:rsid w:val="00092372"/>
    <w:rsid w:val="00096925"/>
    <w:rsid w:val="0009733B"/>
    <w:rsid w:val="000A04B6"/>
    <w:rsid w:val="000A3A08"/>
    <w:rsid w:val="000A4466"/>
    <w:rsid w:val="000A4663"/>
    <w:rsid w:val="000A5E03"/>
    <w:rsid w:val="000A6ABF"/>
    <w:rsid w:val="000B0FBC"/>
    <w:rsid w:val="000B19B8"/>
    <w:rsid w:val="000B29CD"/>
    <w:rsid w:val="000B5D5E"/>
    <w:rsid w:val="000B7A25"/>
    <w:rsid w:val="000C001E"/>
    <w:rsid w:val="000C0BB7"/>
    <w:rsid w:val="000C22A8"/>
    <w:rsid w:val="000C2C2E"/>
    <w:rsid w:val="000C53E3"/>
    <w:rsid w:val="000C7E9D"/>
    <w:rsid w:val="000D2C21"/>
    <w:rsid w:val="000D31E6"/>
    <w:rsid w:val="000D3788"/>
    <w:rsid w:val="000D3B99"/>
    <w:rsid w:val="000D5279"/>
    <w:rsid w:val="000E0144"/>
    <w:rsid w:val="000E05BD"/>
    <w:rsid w:val="000E1992"/>
    <w:rsid w:val="000F1F4F"/>
    <w:rsid w:val="000F3FCE"/>
    <w:rsid w:val="000F64CE"/>
    <w:rsid w:val="000F71D4"/>
    <w:rsid w:val="0010054A"/>
    <w:rsid w:val="00101381"/>
    <w:rsid w:val="00103331"/>
    <w:rsid w:val="001035E6"/>
    <w:rsid w:val="001063A4"/>
    <w:rsid w:val="00110034"/>
    <w:rsid w:val="00110F41"/>
    <w:rsid w:val="001113A9"/>
    <w:rsid w:val="00111E28"/>
    <w:rsid w:val="00115E04"/>
    <w:rsid w:val="0011735A"/>
    <w:rsid w:val="00117D66"/>
    <w:rsid w:val="00121611"/>
    <w:rsid w:val="0012172D"/>
    <w:rsid w:val="0012215D"/>
    <w:rsid w:val="001222C8"/>
    <w:rsid w:val="00122FA6"/>
    <w:rsid w:val="001244B4"/>
    <w:rsid w:val="001266E5"/>
    <w:rsid w:val="00131669"/>
    <w:rsid w:val="00131B2B"/>
    <w:rsid w:val="0013375F"/>
    <w:rsid w:val="00135AA2"/>
    <w:rsid w:val="00136325"/>
    <w:rsid w:val="001365AD"/>
    <w:rsid w:val="00136B54"/>
    <w:rsid w:val="001406A7"/>
    <w:rsid w:val="0014524A"/>
    <w:rsid w:val="00146B3C"/>
    <w:rsid w:val="00147DC4"/>
    <w:rsid w:val="0015151F"/>
    <w:rsid w:val="001530D1"/>
    <w:rsid w:val="001556AB"/>
    <w:rsid w:val="00161C38"/>
    <w:rsid w:val="00162A6F"/>
    <w:rsid w:val="00164228"/>
    <w:rsid w:val="00165CE6"/>
    <w:rsid w:val="00165D3D"/>
    <w:rsid w:val="00167615"/>
    <w:rsid w:val="00170205"/>
    <w:rsid w:val="00170CF0"/>
    <w:rsid w:val="00172890"/>
    <w:rsid w:val="00173438"/>
    <w:rsid w:val="0018073A"/>
    <w:rsid w:val="001811A9"/>
    <w:rsid w:val="00181DBE"/>
    <w:rsid w:val="00182DDB"/>
    <w:rsid w:val="00182F4B"/>
    <w:rsid w:val="00183A2B"/>
    <w:rsid w:val="001871D7"/>
    <w:rsid w:val="00191927"/>
    <w:rsid w:val="0019344D"/>
    <w:rsid w:val="00194F9D"/>
    <w:rsid w:val="00195E17"/>
    <w:rsid w:val="001A0765"/>
    <w:rsid w:val="001A235F"/>
    <w:rsid w:val="001A2E20"/>
    <w:rsid w:val="001A49E1"/>
    <w:rsid w:val="001A6EDF"/>
    <w:rsid w:val="001A7C35"/>
    <w:rsid w:val="001B10AE"/>
    <w:rsid w:val="001B12A8"/>
    <w:rsid w:val="001B225F"/>
    <w:rsid w:val="001B3F2A"/>
    <w:rsid w:val="001B50F6"/>
    <w:rsid w:val="001B78A0"/>
    <w:rsid w:val="001B7AA7"/>
    <w:rsid w:val="001C1327"/>
    <w:rsid w:val="001C4660"/>
    <w:rsid w:val="001C5957"/>
    <w:rsid w:val="001C6040"/>
    <w:rsid w:val="001C7A1D"/>
    <w:rsid w:val="001D104B"/>
    <w:rsid w:val="001D3D28"/>
    <w:rsid w:val="001E27A0"/>
    <w:rsid w:val="001E348C"/>
    <w:rsid w:val="001E7531"/>
    <w:rsid w:val="001F1948"/>
    <w:rsid w:val="001F2521"/>
    <w:rsid w:val="001F41E4"/>
    <w:rsid w:val="001F694E"/>
    <w:rsid w:val="001F77FD"/>
    <w:rsid w:val="001F7812"/>
    <w:rsid w:val="002000C4"/>
    <w:rsid w:val="0020241D"/>
    <w:rsid w:val="00202BE6"/>
    <w:rsid w:val="002052E4"/>
    <w:rsid w:val="00205555"/>
    <w:rsid w:val="0021127D"/>
    <w:rsid w:val="00211EE7"/>
    <w:rsid w:val="002156FE"/>
    <w:rsid w:val="0021669F"/>
    <w:rsid w:val="0022129B"/>
    <w:rsid w:val="00224302"/>
    <w:rsid w:val="0022446E"/>
    <w:rsid w:val="00225811"/>
    <w:rsid w:val="00226F70"/>
    <w:rsid w:val="0023131F"/>
    <w:rsid w:val="002314AD"/>
    <w:rsid w:val="002326D8"/>
    <w:rsid w:val="002359C7"/>
    <w:rsid w:val="00236158"/>
    <w:rsid w:val="0023644E"/>
    <w:rsid w:val="00237B2A"/>
    <w:rsid w:val="0024362A"/>
    <w:rsid w:val="00245094"/>
    <w:rsid w:val="00245DC6"/>
    <w:rsid w:val="002544FA"/>
    <w:rsid w:val="0025743D"/>
    <w:rsid w:val="002604DF"/>
    <w:rsid w:val="0026234C"/>
    <w:rsid w:val="00262C96"/>
    <w:rsid w:val="002642D3"/>
    <w:rsid w:val="00266225"/>
    <w:rsid w:val="00266661"/>
    <w:rsid w:val="00272F4A"/>
    <w:rsid w:val="002844EA"/>
    <w:rsid w:val="002876F9"/>
    <w:rsid w:val="00290C0F"/>
    <w:rsid w:val="00291DC0"/>
    <w:rsid w:val="00294FB4"/>
    <w:rsid w:val="00296212"/>
    <w:rsid w:val="00296AD5"/>
    <w:rsid w:val="002A1861"/>
    <w:rsid w:val="002A2377"/>
    <w:rsid w:val="002A32E7"/>
    <w:rsid w:val="002A5531"/>
    <w:rsid w:val="002A6FCB"/>
    <w:rsid w:val="002A76BA"/>
    <w:rsid w:val="002A77E0"/>
    <w:rsid w:val="002B0D44"/>
    <w:rsid w:val="002B319F"/>
    <w:rsid w:val="002B53D7"/>
    <w:rsid w:val="002B5B3A"/>
    <w:rsid w:val="002C3986"/>
    <w:rsid w:val="002C3FF5"/>
    <w:rsid w:val="002C6E10"/>
    <w:rsid w:val="002D2303"/>
    <w:rsid w:val="002D2A86"/>
    <w:rsid w:val="002D4B81"/>
    <w:rsid w:val="002D4D76"/>
    <w:rsid w:val="002D65F4"/>
    <w:rsid w:val="002D6D8C"/>
    <w:rsid w:val="002E2686"/>
    <w:rsid w:val="002E2CB5"/>
    <w:rsid w:val="002E2FAD"/>
    <w:rsid w:val="002E3987"/>
    <w:rsid w:val="002E51E9"/>
    <w:rsid w:val="002E6C4A"/>
    <w:rsid w:val="002F056B"/>
    <w:rsid w:val="002F098B"/>
    <w:rsid w:val="002F241C"/>
    <w:rsid w:val="002F4050"/>
    <w:rsid w:val="00302A4F"/>
    <w:rsid w:val="00303465"/>
    <w:rsid w:val="003059A4"/>
    <w:rsid w:val="003069BB"/>
    <w:rsid w:val="00307C51"/>
    <w:rsid w:val="00307D82"/>
    <w:rsid w:val="00310A8B"/>
    <w:rsid w:val="003117BA"/>
    <w:rsid w:val="003128AF"/>
    <w:rsid w:val="00312F08"/>
    <w:rsid w:val="00314160"/>
    <w:rsid w:val="00315FA7"/>
    <w:rsid w:val="00316CC9"/>
    <w:rsid w:val="00317157"/>
    <w:rsid w:val="00320909"/>
    <w:rsid w:val="003213C4"/>
    <w:rsid w:val="00326BE4"/>
    <w:rsid w:val="00327066"/>
    <w:rsid w:val="0032749F"/>
    <w:rsid w:val="003311FF"/>
    <w:rsid w:val="00332C5C"/>
    <w:rsid w:val="0033303C"/>
    <w:rsid w:val="00334849"/>
    <w:rsid w:val="00336128"/>
    <w:rsid w:val="00341338"/>
    <w:rsid w:val="003505E6"/>
    <w:rsid w:val="00350EEC"/>
    <w:rsid w:val="00351D5A"/>
    <w:rsid w:val="00353E03"/>
    <w:rsid w:val="00354458"/>
    <w:rsid w:val="00356DC3"/>
    <w:rsid w:val="003634D0"/>
    <w:rsid w:val="00364758"/>
    <w:rsid w:val="00364E9E"/>
    <w:rsid w:val="003655F3"/>
    <w:rsid w:val="00365FCD"/>
    <w:rsid w:val="00367C84"/>
    <w:rsid w:val="003713EA"/>
    <w:rsid w:val="00372355"/>
    <w:rsid w:val="00373133"/>
    <w:rsid w:val="00382865"/>
    <w:rsid w:val="003860BC"/>
    <w:rsid w:val="00386D40"/>
    <w:rsid w:val="00387627"/>
    <w:rsid w:val="003901A5"/>
    <w:rsid w:val="00391F5A"/>
    <w:rsid w:val="0039201C"/>
    <w:rsid w:val="003930FB"/>
    <w:rsid w:val="0039411C"/>
    <w:rsid w:val="003967BA"/>
    <w:rsid w:val="003968C9"/>
    <w:rsid w:val="003973A5"/>
    <w:rsid w:val="003A1C72"/>
    <w:rsid w:val="003A2397"/>
    <w:rsid w:val="003B009D"/>
    <w:rsid w:val="003B0754"/>
    <w:rsid w:val="003B094A"/>
    <w:rsid w:val="003B3FAE"/>
    <w:rsid w:val="003C19FD"/>
    <w:rsid w:val="003C29C2"/>
    <w:rsid w:val="003C47AA"/>
    <w:rsid w:val="003C65C1"/>
    <w:rsid w:val="003C7FAB"/>
    <w:rsid w:val="003D0D93"/>
    <w:rsid w:val="003D23D6"/>
    <w:rsid w:val="003E0040"/>
    <w:rsid w:val="003E19CE"/>
    <w:rsid w:val="003E1B33"/>
    <w:rsid w:val="003F0436"/>
    <w:rsid w:val="003F05FB"/>
    <w:rsid w:val="003F27EB"/>
    <w:rsid w:val="003F4E81"/>
    <w:rsid w:val="003F4F0D"/>
    <w:rsid w:val="003F505F"/>
    <w:rsid w:val="003F661D"/>
    <w:rsid w:val="004001A4"/>
    <w:rsid w:val="00400BE9"/>
    <w:rsid w:val="00400EF4"/>
    <w:rsid w:val="00403EB6"/>
    <w:rsid w:val="00404151"/>
    <w:rsid w:val="00404DB5"/>
    <w:rsid w:val="00404EF8"/>
    <w:rsid w:val="0041440A"/>
    <w:rsid w:val="00414E86"/>
    <w:rsid w:val="0041762A"/>
    <w:rsid w:val="0042019A"/>
    <w:rsid w:val="00421CDF"/>
    <w:rsid w:val="00422E59"/>
    <w:rsid w:val="00425B0E"/>
    <w:rsid w:val="004268CC"/>
    <w:rsid w:val="00426AC7"/>
    <w:rsid w:val="00430160"/>
    <w:rsid w:val="00432E51"/>
    <w:rsid w:val="00435015"/>
    <w:rsid w:val="00437CC2"/>
    <w:rsid w:val="0044015A"/>
    <w:rsid w:val="00445BF3"/>
    <w:rsid w:val="00446683"/>
    <w:rsid w:val="004504CE"/>
    <w:rsid w:val="00454966"/>
    <w:rsid w:val="0045639E"/>
    <w:rsid w:val="004566A5"/>
    <w:rsid w:val="0046033E"/>
    <w:rsid w:val="00462A38"/>
    <w:rsid w:val="00471228"/>
    <w:rsid w:val="004764B7"/>
    <w:rsid w:val="004849A2"/>
    <w:rsid w:val="004910E7"/>
    <w:rsid w:val="00493267"/>
    <w:rsid w:val="00493AF9"/>
    <w:rsid w:val="004943FA"/>
    <w:rsid w:val="004974AA"/>
    <w:rsid w:val="004A3DC4"/>
    <w:rsid w:val="004A45AC"/>
    <w:rsid w:val="004A66D6"/>
    <w:rsid w:val="004B0AF7"/>
    <w:rsid w:val="004B6DDA"/>
    <w:rsid w:val="004C0CFA"/>
    <w:rsid w:val="004C334E"/>
    <w:rsid w:val="004C355F"/>
    <w:rsid w:val="004C3C3E"/>
    <w:rsid w:val="004C6C1F"/>
    <w:rsid w:val="004D10C8"/>
    <w:rsid w:val="004D17AA"/>
    <w:rsid w:val="004D1F42"/>
    <w:rsid w:val="004D28BF"/>
    <w:rsid w:val="004D5741"/>
    <w:rsid w:val="004D6F1A"/>
    <w:rsid w:val="004D72C0"/>
    <w:rsid w:val="004E18B2"/>
    <w:rsid w:val="004E5886"/>
    <w:rsid w:val="004E5E5C"/>
    <w:rsid w:val="004E7E5B"/>
    <w:rsid w:val="004F0168"/>
    <w:rsid w:val="004F1206"/>
    <w:rsid w:val="004F1870"/>
    <w:rsid w:val="004F612F"/>
    <w:rsid w:val="005037BA"/>
    <w:rsid w:val="00510DA7"/>
    <w:rsid w:val="0051263C"/>
    <w:rsid w:val="005139B3"/>
    <w:rsid w:val="00514A90"/>
    <w:rsid w:val="00516B28"/>
    <w:rsid w:val="00523021"/>
    <w:rsid w:val="00524624"/>
    <w:rsid w:val="00524D3C"/>
    <w:rsid w:val="0052534B"/>
    <w:rsid w:val="00525C02"/>
    <w:rsid w:val="005303FB"/>
    <w:rsid w:val="00534B99"/>
    <w:rsid w:val="00534CB3"/>
    <w:rsid w:val="0054152E"/>
    <w:rsid w:val="00541703"/>
    <w:rsid w:val="00543532"/>
    <w:rsid w:val="00543611"/>
    <w:rsid w:val="00543E57"/>
    <w:rsid w:val="00544DF6"/>
    <w:rsid w:val="00546084"/>
    <w:rsid w:val="005469CC"/>
    <w:rsid w:val="00550CDD"/>
    <w:rsid w:val="00551898"/>
    <w:rsid w:val="0055401D"/>
    <w:rsid w:val="0055568F"/>
    <w:rsid w:val="005561EB"/>
    <w:rsid w:val="00556BF8"/>
    <w:rsid w:val="00556F7C"/>
    <w:rsid w:val="0056158D"/>
    <w:rsid w:val="00563E1B"/>
    <w:rsid w:val="005663A1"/>
    <w:rsid w:val="00572084"/>
    <w:rsid w:val="0057209D"/>
    <w:rsid w:val="005734F3"/>
    <w:rsid w:val="005756AF"/>
    <w:rsid w:val="00575FD0"/>
    <w:rsid w:val="005811C8"/>
    <w:rsid w:val="00581693"/>
    <w:rsid w:val="0058582E"/>
    <w:rsid w:val="005859CD"/>
    <w:rsid w:val="00585B84"/>
    <w:rsid w:val="005873E9"/>
    <w:rsid w:val="00590B13"/>
    <w:rsid w:val="005916E5"/>
    <w:rsid w:val="00594705"/>
    <w:rsid w:val="00596578"/>
    <w:rsid w:val="005A5D0F"/>
    <w:rsid w:val="005A7444"/>
    <w:rsid w:val="005A778F"/>
    <w:rsid w:val="005A7DDA"/>
    <w:rsid w:val="005B0325"/>
    <w:rsid w:val="005B1CAC"/>
    <w:rsid w:val="005B1D83"/>
    <w:rsid w:val="005B241F"/>
    <w:rsid w:val="005B38A7"/>
    <w:rsid w:val="005B650F"/>
    <w:rsid w:val="005B7767"/>
    <w:rsid w:val="005C196F"/>
    <w:rsid w:val="005C3632"/>
    <w:rsid w:val="005D0C48"/>
    <w:rsid w:val="005D2446"/>
    <w:rsid w:val="005D3948"/>
    <w:rsid w:val="005D6E4F"/>
    <w:rsid w:val="005E028B"/>
    <w:rsid w:val="005E07F2"/>
    <w:rsid w:val="005E1038"/>
    <w:rsid w:val="005E1413"/>
    <w:rsid w:val="005E5941"/>
    <w:rsid w:val="005F2275"/>
    <w:rsid w:val="0060061C"/>
    <w:rsid w:val="0060170B"/>
    <w:rsid w:val="00606387"/>
    <w:rsid w:val="00613A9E"/>
    <w:rsid w:val="00615345"/>
    <w:rsid w:val="00616F14"/>
    <w:rsid w:val="00617004"/>
    <w:rsid w:val="006204A5"/>
    <w:rsid w:val="00620663"/>
    <w:rsid w:val="00621753"/>
    <w:rsid w:val="0063006A"/>
    <w:rsid w:val="00641764"/>
    <w:rsid w:val="0064200B"/>
    <w:rsid w:val="0064387C"/>
    <w:rsid w:val="00647933"/>
    <w:rsid w:val="00650202"/>
    <w:rsid w:val="0065147B"/>
    <w:rsid w:val="006532E9"/>
    <w:rsid w:val="00654725"/>
    <w:rsid w:val="00656581"/>
    <w:rsid w:val="00660955"/>
    <w:rsid w:val="00661E56"/>
    <w:rsid w:val="0066601A"/>
    <w:rsid w:val="00666EE8"/>
    <w:rsid w:val="00670252"/>
    <w:rsid w:val="00677F64"/>
    <w:rsid w:val="00681027"/>
    <w:rsid w:val="00682667"/>
    <w:rsid w:val="0068436B"/>
    <w:rsid w:val="00684A65"/>
    <w:rsid w:val="00685538"/>
    <w:rsid w:val="00697F7E"/>
    <w:rsid w:val="006A0182"/>
    <w:rsid w:val="006A6572"/>
    <w:rsid w:val="006B6C0F"/>
    <w:rsid w:val="006B75B1"/>
    <w:rsid w:val="006B7D31"/>
    <w:rsid w:val="006C2E5F"/>
    <w:rsid w:val="006C5D1C"/>
    <w:rsid w:val="006C723B"/>
    <w:rsid w:val="006D0801"/>
    <w:rsid w:val="006D1217"/>
    <w:rsid w:val="006D25C3"/>
    <w:rsid w:val="006D431B"/>
    <w:rsid w:val="006D6575"/>
    <w:rsid w:val="006D6618"/>
    <w:rsid w:val="006D7375"/>
    <w:rsid w:val="006E3835"/>
    <w:rsid w:val="006E655C"/>
    <w:rsid w:val="006E6E4C"/>
    <w:rsid w:val="006F12D6"/>
    <w:rsid w:val="006F63B1"/>
    <w:rsid w:val="006F65BD"/>
    <w:rsid w:val="0070048D"/>
    <w:rsid w:val="0070290F"/>
    <w:rsid w:val="00704474"/>
    <w:rsid w:val="00704A9F"/>
    <w:rsid w:val="007078EA"/>
    <w:rsid w:val="00707C77"/>
    <w:rsid w:val="00714D56"/>
    <w:rsid w:val="00716EE3"/>
    <w:rsid w:val="00720028"/>
    <w:rsid w:val="00720FC1"/>
    <w:rsid w:val="007219F4"/>
    <w:rsid w:val="007271B8"/>
    <w:rsid w:val="00727F45"/>
    <w:rsid w:val="00733CF4"/>
    <w:rsid w:val="00735A31"/>
    <w:rsid w:val="00735BC8"/>
    <w:rsid w:val="00740AD3"/>
    <w:rsid w:val="00742359"/>
    <w:rsid w:val="007431A0"/>
    <w:rsid w:val="00745144"/>
    <w:rsid w:val="00751F38"/>
    <w:rsid w:val="007551B9"/>
    <w:rsid w:val="00757F21"/>
    <w:rsid w:val="00762620"/>
    <w:rsid w:val="00764DB7"/>
    <w:rsid w:val="00767612"/>
    <w:rsid w:val="0077175D"/>
    <w:rsid w:val="00771B59"/>
    <w:rsid w:val="00772D42"/>
    <w:rsid w:val="007748A3"/>
    <w:rsid w:val="00774C47"/>
    <w:rsid w:val="00776C4C"/>
    <w:rsid w:val="00784092"/>
    <w:rsid w:val="00785884"/>
    <w:rsid w:val="0078781F"/>
    <w:rsid w:val="007903F7"/>
    <w:rsid w:val="007905DB"/>
    <w:rsid w:val="00791190"/>
    <w:rsid w:val="0079196C"/>
    <w:rsid w:val="00792AC3"/>
    <w:rsid w:val="007961F4"/>
    <w:rsid w:val="00796ECA"/>
    <w:rsid w:val="007A341A"/>
    <w:rsid w:val="007A45C6"/>
    <w:rsid w:val="007A556C"/>
    <w:rsid w:val="007A6E3C"/>
    <w:rsid w:val="007B10AF"/>
    <w:rsid w:val="007B1A28"/>
    <w:rsid w:val="007B4121"/>
    <w:rsid w:val="007B56E0"/>
    <w:rsid w:val="007B6154"/>
    <w:rsid w:val="007C025F"/>
    <w:rsid w:val="007D21AE"/>
    <w:rsid w:val="007D54DB"/>
    <w:rsid w:val="007D7EAF"/>
    <w:rsid w:val="007E0744"/>
    <w:rsid w:val="007E2A6B"/>
    <w:rsid w:val="007E5E30"/>
    <w:rsid w:val="007E6B18"/>
    <w:rsid w:val="007F1C60"/>
    <w:rsid w:val="007F7191"/>
    <w:rsid w:val="007F792E"/>
    <w:rsid w:val="00802685"/>
    <w:rsid w:val="00803758"/>
    <w:rsid w:val="00803AE5"/>
    <w:rsid w:val="008075EE"/>
    <w:rsid w:val="0081072B"/>
    <w:rsid w:val="00812165"/>
    <w:rsid w:val="0081416D"/>
    <w:rsid w:val="008147F4"/>
    <w:rsid w:val="008148F6"/>
    <w:rsid w:val="0081541E"/>
    <w:rsid w:val="00815E20"/>
    <w:rsid w:val="00816F96"/>
    <w:rsid w:val="00817773"/>
    <w:rsid w:val="00817A9D"/>
    <w:rsid w:val="00820262"/>
    <w:rsid w:val="0083144D"/>
    <w:rsid w:val="00833372"/>
    <w:rsid w:val="00833544"/>
    <w:rsid w:val="00835436"/>
    <w:rsid w:val="00836312"/>
    <w:rsid w:val="00841EAE"/>
    <w:rsid w:val="0084345C"/>
    <w:rsid w:val="00843E91"/>
    <w:rsid w:val="00844448"/>
    <w:rsid w:val="00850B01"/>
    <w:rsid w:val="0085288B"/>
    <w:rsid w:val="00853F95"/>
    <w:rsid w:val="00856C18"/>
    <w:rsid w:val="00857320"/>
    <w:rsid w:val="0086088F"/>
    <w:rsid w:val="008656DB"/>
    <w:rsid w:val="00866C2B"/>
    <w:rsid w:val="00867B46"/>
    <w:rsid w:val="00867CB2"/>
    <w:rsid w:val="00871837"/>
    <w:rsid w:val="00881842"/>
    <w:rsid w:val="00882CD2"/>
    <w:rsid w:val="0088529B"/>
    <w:rsid w:val="00885FAB"/>
    <w:rsid w:val="00886B2A"/>
    <w:rsid w:val="00895C37"/>
    <w:rsid w:val="00895F09"/>
    <w:rsid w:val="0089636F"/>
    <w:rsid w:val="0089638D"/>
    <w:rsid w:val="00896A1A"/>
    <w:rsid w:val="00896DE3"/>
    <w:rsid w:val="008971C3"/>
    <w:rsid w:val="0089771D"/>
    <w:rsid w:val="008A3711"/>
    <w:rsid w:val="008A38A5"/>
    <w:rsid w:val="008A4A31"/>
    <w:rsid w:val="008A695D"/>
    <w:rsid w:val="008B2127"/>
    <w:rsid w:val="008B7C91"/>
    <w:rsid w:val="008C0429"/>
    <w:rsid w:val="008C0ECA"/>
    <w:rsid w:val="008C1403"/>
    <w:rsid w:val="008C1914"/>
    <w:rsid w:val="008C20C7"/>
    <w:rsid w:val="008C2B57"/>
    <w:rsid w:val="008C3C45"/>
    <w:rsid w:val="008C4172"/>
    <w:rsid w:val="008D04B2"/>
    <w:rsid w:val="008D3A0F"/>
    <w:rsid w:val="008D6501"/>
    <w:rsid w:val="008E1876"/>
    <w:rsid w:val="008E22CE"/>
    <w:rsid w:val="008E5391"/>
    <w:rsid w:val="008F1713"/>
    <w:rsid w:val="008F192F"/>
    <w:rsid w:val="008F21D3"/>
    <w:rsid w:val="008F55A8"/>
    <w:rsid w:val="008F5727"/>
    <w:rsid w:val="008F6B5F"/>
    <w:rsid w:val="0090549C"/>
    <w:rsid w:val="00905623"/>
    <w:rsid w:val="0091476E"/>
    <w:rsid w:val="009174DC"/>
    <w:rsid w:val="00917F57"/>
    <w:rsid w:val="00920F72"/>
    <w:rsid w:val="00921120"/>
    <w:rsid w:val="009240EE"/>
    <w:rsid w:val="0092628E"/>
    <w:rsid w:val="009273F4"/>
    <w:rsid w:val="00932E40"/>
    <w:rsid w:val="009357D7"/>
    <w:rsid w:val="009371B7"/>
    <w:rsid w:val="00944522"/>
    <w:rsid w:val="0094585E"/>
    <w:rsid w:val="009515EB"/>
    <w:rsid w:val="00951CE3"/>
    <w:rsid w:val="00954ED4"/>
    <w:rsid w:val="0095712E"/>
    <w:rsid w:val="00960D95"/>
    <w:rsid w:val="00960F8E"/>
    <w:rsid w:val="00961946"/>
    <w:rsid w:val="0096243A"/>
    <w:rsid w:val="00963B37"/>
    <w:rsid w:val="00965505"/>
    <w:rsid w:val="009658D5"/>
    <w:rsid w:val="009835B1"/>
    <w:rsid w:val="00984063"/>
    <w:rsid w:val="00986EC5"/>
    <w:rsid w:val="0098744A"/>
    <w:rsid w:val="009906A1"/>
    <w:rsid w:val="00993622"/>
    <w:rsid w:val="00996015"/>
    <w:rsid w:val="0099635D"/>
    <w:rsid w:val="00997068"/>
    <w:rsid w:val="00997964"/>
    <w:rsid w:val="00997B60"/>
    <w:rsid w:val="009A04FC"/>
    <w:rsid w:val="009A3EF4"/>
    <w:rsid w:val="009A472D"/>
    <w:rsid w:val="009A665B"/>
    <w:rsid w:val="009A7231"/>
    <w:rsid w:val="009A7D51"/>
    <w:rsid w:val="009B0351"/>
    <w:rsid w:val="009B07B4"/>
    <w:rsid w:val="009B3C47"/>
    <w:rsid w:val="009B3DF7"/>
    <w:rsid w:val="009B6D65"/>
    <w:rsid w:val="009C344B"/>
    <w:rsid w:val="009C36B0"/>
    <w:rsid w:val="009C4E97"/>
    <w:rsid w:val="009C585B"/>
    <w:rsid w:val="009C66DE"/>
    <w:rsid w:val="009C690C"/>
    <w:rsid w:val="009D3FFE"/>
    <w:rsid w:val="009D4583"/>
    <w:rsid w:val="009D4F20"/>
    <w:rsid w:val="009D68E3"/>
    <w:rsid w:val="009D6F2B"/>
    <w:rsid w:val="009E07AE"/>
    <w:rsid w:val="009E1E0F"/>
    <w:rsid w:val="009E2803"/>
    <w:rsid w:val="009E3C9E"/>
    <w:rsid w:val="009E4365"/>
    <w:rsid w:val="009E7550"/>
    <w:rsid w:val="009F01EF"/>
    <w:rsid w:val="009F0962"/>
    <w:rsid w:val="009F14A6"/>
    <w:rsid w:val="009F1796"/>
    <w:rsid w:val="009F225D"/>
    <w:rsid w:val="009F433C"/>
    <w:rsid w:val="009F54A7"/>
    <w:rsid w:val="009F5D55"/>
    <w:rsid w:val="009F7272"/>
    <w:rsid w:val="00A010A9"/>
    <w:rsid w:val="00A01EE8"/>
    <w:rsid w:val="00A03809"/>
    <w:rsid w:val="00A0548F"/>
    <w:rsid w:val="00A10C0A"/>
    <w:rsid w:val="00A124A3"/>
    <w:rsid w:val="00A1318A"/>
    <w:rsid w:val="00A14350"/>
    <w:rsid w:val="00A15960"/>
    <w:rsid w:val="00A21C38"/>
    <w:rsid w:val="00A22F9F"/>
    <w:rsid w:val="00A24321"/>
    <w:rsid w:val="00A26ECB"/>
    <w:rsid w:val="00A27BD5"/>
    <w:rsid w:val="00A3190D"/>
    <w:rsid w:val="00A329F6"/>
    <w:rsid w:val="00A342C6"/>
    <w:rsid w:val="00A349BF"/>
    <w:rsid w:val="00A353DC"/>
    <w:rsid w:val="00A368FF"/>
    <w:rsid w:val="00A37817"/>
    <w:rsid w:val="00A42CEE"/>
    <w:rsid w:val="00A46F87"/>
    <w:rsid w:val="00A55E20"/>
    <w:rsid w:val="00A55EAF"/>
    <w:rsid w:val="00A561F3"/>
    <w:rsid w:val="00A5716A"/>
    <w:rsid w:val="00A6191A"/>
    <w:rsid w:val="00A636C5"/>
    <w:rsid w:val="00A715BA"/>
    <w:rsid w:val="00A77916"/>
    <w:rsid w:val="00A80105"/>
    <w:rsid w:val="00A83A35"/>
    <w:rsid w:val="00A840D2"/>
    <w:rsid w:val="00A8411C"/>
    <w:rsid w:val="00A90F29"/>
    <w:rsid w:val="00A928A4"/>
    <w:rsid w:val="00A93537"/>
    <w:rsid w:val="00A9547D"/>
    <w:rsid w:val="00A965D8"/>
    <w:rsid w:val="00AA6022"/>
    <w:rsid w:val="00AA630C"/>
    <w:rsid w:val="00AA6CCB"/>
    <w:rsid w:val="00AA742E"/>
    <w:rsid w:val="00AB4050"/>
    <w:rsid w:val="00AB514F"/>
    <w:rsid w:val="00AC0554"/>
    <w:rsid w:val="00AC0804"/>
    <w:rsid w:val="00AC3A72"/>
    <w:rsid w:val="00AC441B"/>
    <w:rsid w:val="00AC6A1B"/>
    <w:rsid w:val="00AD1231"/>
    <w:rsid w:val="00AD419A"/>
    <w:rsid w:val="00AD60CB"/>
    <w:rsid w:val="00AE1EB8"/>
    <w:rsid w:val="00AE29A4"/>
    <w:rsid w:val="00AE529C"/>
    <w:rsid w:val="00AF04F9"/>
    <w:rsid w:val="00AF6BDD"/>
    <w:rsid w:val="00B038A8"/>
    <w:rsid w:val="00B0580D"/>
    <w:rsid w:val="00B12C1A"/>
    <w:rsid w:val="00B13578"/>
    <w:rsid w:val="00B13FFB"/>
    <w:rsid w:val="00B14837"/>
    <w:rsid w:val="00B170F3"/>
    <w:rsid w:val="00B25C9D"/>
    <w:rsid w:val="00B26453"/>
    <w:rsid w:val="00B27F15"/>
    <w:rsid w:val="00B31B04"/>
    <w:rsid w:val="00B3294C"/>
    <w:rsid w:val="00B335D9"/>
    <w:rsid w:val="00B35565"/>
    <w:rsid w:val="00B41CD6"/>
    <w:rsid w:val="00B53471"/>
    <w:rsid w:val="00B549A6"/>
    <w:rsid w:val="00B620D9"/>
    <w:rsid w:val="00B633AA"/>
    <w:rsid w:val="00B63600"/>
    <w:rsid w:val="00B65C70"/>
    <w:rsid w:val="00B66551"/>
    <w:rsid w:val="00B67508"/>
    <w:rsid w:val="00B67638"/>
    <w:rsid w:val="00B71F65"/>
    <w:rsid w:val="00B732DB"/>
    <w:rsid w:val="00B750BC"/>
    <w:rsid w:val="00B754C4"/>
    <w:rsid w:val="00B77112"/>
    <w:rsid w:val="00B8075C"/>
    <w:rsid w:val="00B82773"/>
    <w:rsid w:val="00B82787"/>
    <w:rsid w:val="00B83DC9"/>
    <w:rsid w:val="00B84072"/>
    <w:rsid w:val="00B9320A"/>
    <w:rsid w:val="00B932EC"/>
    <w:rsid w:val="00B94024"/>
    <w:rsid w:val="00B94B0B"/>
    <w:rsid w:val="00B94CD7"/>
    <w:rsid w:val="00B95AE3"/>
    <w:rsid w:val="00BA2788"/>
    <w:rsid w:val="00BC5F7F"/>
    <w:rsid w:val="00BC7A2D"/>
    <w:rsid w:val="00BD082F"/>
    <w:rsid w:val="00BD3E94"/>
    <w:rsid w:val="00BD4513"/>
    <w:rsid w:val="00BD4F40"/>
    <w:rsid w:val="00BD7A83"/>
    <w:rsid w:val="00BE33E3"/>
    <w:rsid w:val="00BF160D"/>
    <w:rsid w:val="00BF243D"/>
    <w:rsid w:val="00BF3920"/>
    <w:rsid w:val="00BF4136"/>
    <w:rsid w:val="00C078DE"/>
    <w:rsid w:val="00C079FE"/>
    <w:rsid w:val="00C109B5"/>
    <w:rsid w:val="00C11EB7"/>
    <w:rsid w:val="00C1268F"/>
    <w:rsid w:val="00C150B2"/>
    <w:rsid w:val="00C16689"/>
    <w:rsid w:val="00C21B6A"/>
    <w:rsid w:val="00C22AA5"/>
    <w:rsid w:val="00C261FB"/>
    <w:rsid w:val="00C26D68"/>
    <w:rsid w:val="00C26F5D"/>
    <w:rsid w:val="00C3052A"/>
    <w:rsid w:val="00C35815"/>
    <w:rsid w:val="00C41702"/>
    <w:rsid w:val="00C434FD"/>
    <w:rsid w:val="00C43927"/>
    <w:rsid w:val="00C47B05"/>
    <w:rsid w:val="00C51332"/>
    <w:rsid w:val="00C535F1"/>
    <w:rsid w:val="00C54947"/>
    <w:rsid w:val="00C55260"/>
    <w:rsid w:val="00C56742"/>
    <w:rsid w:val="00C57276"/>
    <w:rsid w:val="00C631CF"/>
    <w:rsid w:val="00C66BAF"/>
    <w:rsid w:val="00C66CF6"/>
    <w:rsid w:val="00C679A1"/>
    <w:rsid w:val="00C716A0"/>
    <w:rsid w:val="00C7193A"/>
    <w:rsid w:val="00C72498"/>
    <w:rsid w:val="00C73EF0"/>
    <w:rsid w:val="00C74534"/>
    <w:rsid w:val="00C8139E"/>
    <w:rsid w:val="00C82FC4"/>
    <w:rsid w:val="00C82FCC"/>
    <w:rsid w:val="00C85534"/>
    <w:rsid w:val="00C91644"/>
    <w:rsid w:val="00C91EC2"/>
    <w:rsid w:val="00C92341"/>
    <w:rsid w:val="00C93665"/>
    <w:rsid w:val="00C976CF"/>
    <w:rsid w:val="00C978EA"/>
    <w:rsid w:val="00CA5187"/>
    <w:rsid w:val="00CA5D26"/>
    <w:rsid w:val="00CB0D5A"/>
    <w:rsid w:val="00CB4122"/>
    <w:rsid w:val="00CB5800"/>
    <w:rsid w:val="00CC2ED1"/>
    <w:rsid w:val="00CC397B"/>
    <w:rsid w:val="00CC4D12"/>
    <w:rsid w:val="00CC56FF"/>
    <w:rsid w:val="00CC5C32"/>
    <w:rsid w:val="00CD0756"/>
    <w:rsid w:val="00CD0F5D"/>
    <w:rsid w:val="00CD1A32"/>
    <w:rsid w:val="00CD24F8"/>
    <w:rsid w:val="00CD3053"/>
    <w:rsid w:val="00CD3BF1"/>
    <w:rsid w:val="00CD3DFF"/>
    <w:rsid w:val="00CD4AD4"/>
    <w:rsid w:val="00CD59AB"/>
    <w:rsid w:val="00CE1061"/>
    <w:rsid w:val="00CE3174"/>
    <w:rsid w:val="00CE64A1"/>
    <w:rsid w:val="00CE67C7"/>
    <w:rsid w:val="00CF190D"/>
    <w:rsid w:val="00CF1DD1"/>
    <w:rsid w:val="00CF21D7"/>
    <w:rsid w:val="00CF48D8"/>
    <w:rsid w:val="00CF69D8"/>
    <w:rsid w:val="00CF78F2"/>
    <w:rsid w:val="00D00084"/>
    <w:rsid w:val="00D0152B"/>
    <w:rsid w:val="00D028C5"/>
    <w:rsid w:val="00D051DE"/>
    <w:rsid w:val="00D102A0"/>
    <w:rsid w:val="00D14A80"/>
    <w:rsid w:val="00D15319"/>
    <w:rsid w:val="00D21717"/>
    <w:rsid w:val="00D23F10"/>
    <w:rsid w:val="00D250D1"/>
    <w:rsid w:val="00D3119D"/>
    <w:rsid w:val="00D32261"/>
    <w:rsid w:val="00D32D98"/>
    <w:rsid w:val="00D346A4"/>
    <w:rsid w:val="00D35953"/>
    <w:rsid w:val="00D37A46"/>
    <w:rsid w:val="00D45127"/>
    <w:rsid w:val="00D45368"/>
    <w:rsid w:val="00D46689"/>
    <w:rsid w:val="00D5134B"/>
    <w:rsid w:val="00D51C1B"/>
    <w:rsid w:val="00D547DC"/>
    <w:rsid w:val="00D5576F"/>
    <w:rsid w:val="00D60C02"/>
    <w:rsid w:val="00D614C5"/>
    <w:rsid w:val="00D617D9"/>
    <w:rsid w:val="00D65780"/>
    <w:rsid w:val="00D66198"/>
    <w:rsid w:val="00D66E49"/>
    <w:rsid w:val="00D67261"/>
    <w:rsid w:val="00D6755F"/>
    <w:rsid w:val="00D7046F"/>
    <w:rsid w:val="00D70D45"/>
    <w:rsid w:val="00D722CA"/>
    <w:rsid w:val="00D74735"/>
    <w:rsid w:val="00D767C8"/>
    <w:rsid w:val="00D76CE7"/>
    <w:rsid w:val="00D775BE"/>
    <w:rsid w:val="00D8009E"/>
    <w:rsid w:val="00D800B8"/>
    <w:rsid w:val="00D80B48"/>
    <w:rsid w:val="00D80C44"/>
    <w:rsid w:val="00D82AEF"/>
    <w:rsid w:val="00D83371"/>
    <w:rsid w:val="00D8526A"/>
    <w:rsid w:val="00D90477"/>
    <w:rsid w:val="00D932D4"/>
    <w:rsid w:val="00DA082B"/>
    <w:rsid w:val="00DB092E"/>
    <w:rsid w:val="00DB0EF2"/>
    <w:rsid w:val="00DB2DFD"/>
    <w:rsid w:val="00DB5EE5"/>
    <w:rsid w:val="00DB62C6"/>
    <w:rsid w:val="00DB7831"/>
    <w:rsid w:val="00DC325F"/>
    <w:rsid w:val="00DD1E42"/>
    <w:rsid w:val="00DD3887"/>
    <w:rsid w:val="00DD4F39"/>
    <w:rsid w:val="00DD50EF"/>
    <w:rsid w:val="00DD525C"/>
    <w:rsid w:val="00DD5462"/>
    <w:rsid w:val="00DD5CDF"/>
    <w:rsid w:val="00DD6D4B"/>
    <w:rsid w:val="00DD758E"/>
    <w:rsid w:val="00DE0DFB"/>
    <w:rsid w:val="00DE4646"/>
    <w:rsid w:val="00DE7D53"/>
    <w:rsid w:val="00DF229C"/>
    <w:rsid w:val="00DF2C93"/>
    <w:rsid w:val="00DF3A62"/>
    <w:rsid w:val="00DF6E5C"/>
    <w:rsid w:val="00DF6FD3"/>
    <w:rsid w:val="00DF7904"/>
    <w:rsid w:val="00E05399"/>
    <w:rsid w:val="00E07E37"/>
    <w:rsid w:val="00E1005A"/>
    <w:rsid w:val="00E147EE"/>
    <w:rsid w:val="00E1520F"/>
    <w:rsid w:val="00E1611C"/>
    <w:rsid w:val="00E16E8C"/>
    <w:rsid w:val="00E16EE7"/>
    <w:rsid w:val="00E17C3E"/>
    <w:rsid w:val="00E17F54"/>
    <w:rsid w:val="00E20C5B"/>
    <w:rsid w:val="00E21530"/>
    <w:rsid w:val="00E217C0"/>
    <w:rsid w:val="00E22504"/>
    <w:rsid w:val="00E2356D"/>
    <w:rsid w:val="00E325C4"/>
    <w:rsid w:val="00E3641A"/>
    <w:rsid w:val="00E43A08"/>
    <w:rsid w:val="00E51009"/>
    <w:rsid w:val="00E53C8F"/>
    <w:rsid w:val="00E54185"/>
    <w:rsid w:val="00E546FF"/>
    <w:rsid w:val="00E54867"/>
    <w:rsid w:val="00E5580A"/>
    <w:rsid w:val="00E55F56"/>
    <w:rsid w:val="00E56E46"/>
    <w:rsid w:val="00E56FB9"/>
    <w:rsid w:val="00E57023"/>
    <w:rsid w:val="00E5712C"/>
    <w:rsid w:val="00E64538"/>
    <w:rsid w:val="00E6587E"/>
    <w:rsid w:val="00E66B06"/>
    <w:rsid w:val="00E67A45"/>
    <w:rsid w:val="00E70B2D"/>
    <w:rsid w:val="00E71696"/>
    <w:rsid w:val="00E724D1"/>
    <w:rsid w:val="00E72691"/>
    <w:rsid w:val="00E727D4"/>
    <w:rsid w:val="00E82733"/>
    <w:rsid w:val="00E83EA0"/>
    <w:rsid w:val="00E84866"/>
    <w:rsid w:val="00E86314"/>
    <w:rsid w:val="00E86F51"/>
    <w:rsid w:val="00E8772A"/>
    <w:rsid w:val="00E94103"/>
    <w:rsid w:val="00E974A2"/>
    <w:rsid w:val="00EA0A96"/>
    <w:rsid w:val="00EA3A92"/>
    <w:rsid w:val="00EA5BD4"/>
    <w:rsid w:val="00EA5F69"/>
    <w:rsid w:val="00EB382B"/>
    <w:rsid w:val="00EB4C76"/>
    <w:rsid w:val="00EB4FEE"/>
    <w:rsid w:val="00EB55D6"/>
    <w:rsid w:val="00EC20D6"/>
    <w:rsid w:val="00EC2C86"/>
    <w:rsid w:val="00EC487E"/>
    <w:rsid w:val="00EC4E34"/>
    <w:rsid w:val="00EC6389"/>
    <w:rsid w:val="00EC6B35"/>
    <w:rsid w:val="00ED01B0"/>
    <w:rsid w:val="00ED196C"/>
    <w:rsid w:val="00ED240A"/>
    <w:rsid w:val="00ED2E24"/>
    <w:rsid w:val="00ED59F9"/>
    <w:rsid w:val="00ED6635"/>
    <w:rsid w:val="00ED6C99"/>
    <w:rsid w:val="00ED6CB5"/>
    <w:rsid w:val="00ED7B47"/>
    <w:rsid w:val="00EE0A0A"/>
    <w:rsid w:val="00EE3565"/>
    <w:rsid w:val="00EE3EC8"/>
    <w:rsid w:val="00EE65D5"/>
    <w:rsid w:val="00EF1825"/>
    <w:rsid w:val="00EF2577"/>
    <w:rsid w:val="00F01475"/>
    <w:rsid w:val="00F0197E"/>
    <w:rsid w:val="00F07703"/>
    <w:rsid w:val="00F112C0"/>
    <w:rsid w:val="00F161B3"/>
    <w:rsid w:val="00F255AB"/>
    <w:rsid w:val="00F26057"/>
    <w:rsid w:val="00F30C27"/>
    <w:rsid w:val="00F32E24"/>
    <w:rsid w:val="00F40227"/>
    <w:rsid w:val="00F41E34"/>
    <w:rsid w:val="00F42FFD"/>
    <w:rsid w:val="00F4737C"/>
    <w:rsid w:val="00F5046B"/>
    <w:rsid w:val="00F50C9D"/>
    <w:rsid w:val="00F5278C"/>
    <w:rsid w:val="00F537A0"/>
    <w:rsid w:val="00F55B8D"/>
    <w:rsid w:val="00F57A4D"/>
    <w:rsid w:val="00F61106"/>
    <w:rsid w:val="00F63000"/>
    <w:rsid w:val="00F642BA"/>
    <w:rsid w:val="00F71E5A"/>
    <w:rsid w:val="00F729A1"/>
    <w:rsid w:val="00F73958"/>
    <w:rsid w:val="00F746FE"/>
    <w:rsid w:val="00F762B5"/>
    <w:rsid w:val="00F76BEE"/>
    <w:rsid w:val="00F77C6C"/>
    <w:rsid w:val="00F77EF8"/>
    <w:rsid w:val="00F802A4"/>
    <w:rsid w:val="00F81D42"/>
    <w:rsid w:val="00F90356"/>
    <w:rsid w:val="00F9300D"/>
    <w:rsid w:val="00F93E10"/>
    <w:rsid w:val="00F93FFC"/>
    <w:rsid w:val="00F95512"/>
    <w:rsid w:val="00F96659"/>
    <w:rsid w:val="00F97331"/>
    <w:rsid w:val="00FA02A8"/>
    <w:rsid w:val="00FA34C3"/>
    <w:rsid w:val="00FA42C4"/>
    <w:rsid w:val="00FA4969"/>
    <w:rsid w:val="00FA5223"/>
    <w:rsid w:val="00FA766F"/>
    <w:rsid w:val="00FB1800"/>
    <w:rsid w:val="00FB5810"/>
    <w:rsid w:val="00FB6809"/>
    <w:rsid w:val="00FC078A"/>
    <w:rsid w:val="00FC138D"/>
    <w:rsid w:val="00FC6C38"/>
    <w:rsid w:val="00FC6FF0"/>
    <w:rsid w:val="00FC7170"/>
    <w:rsid w:val="00FD0931"/>
    <w:rsid w:val="00FD1826"/>
    <w:rsid w:val="00FD1EAD"/>
    <w:rsid w:val="00FD231C"/>
    <w:rsid w:val="00FD5B13"/>
    <w:rsid w:val="00FE0A41"/>
    <w:rsid w:val="00FE1AAA"/>
    <w:rsid w:val="00FE457B"/>
    <w:rsid w:val="00FE4C34"/>
    <w:rsid w:val="00FE56C4"/>
    <w:rsid w:val="00FE6D82"/>
    <w:rsid w:val="00FE6DA1"/>
    <w:rsid w:val="00FF0E68"/>
    <w:rsid w:val="00FF18C8"/>
    <w:rsid w:val="00FF3C53"/>
    <w:rsid w:val="00FF4E3E"/>
    <w:rsid w:val="00FF5C44"/>
    <w:rsid w:val="118433A2"/>
    <w:rsid w:val="13A90253"/>
    <w:rsid w:val="19CD2F52"/>
    <w:rsid w:val="19EA21F9"/>
    <w:rsid w:val="1A40505E"/>
    <w:rsid w:val="1C44157D"/>
    <w:rsid w:val="2611A5E9"/>
    <w:rsid w:val="26F29DF7"/>
    <w:rsid w:val="28DFCDC6"/>
    <w:rsid w:val="29C02DDB"/>
    <w:rsid w:val="2D6C94B6"/>
    <w:rsid w:val="307B1A98"/>
    <w:rsid w:val="30C6170A"/>
    <w:rsid w:val="32D9799A"/>
    <w:rsid w:val="32FE1FDB"/>
    <w:rsid w:val="36B01913"/>
    <w:rsid w:val="371C579F"/>
    <w:rsid w:val="3D52BF7A"/>
    <w:rsid w:val="40F12C28"/>
    <w:rsid w:val="437B9EB7"/>
    <w:rsid w:val="461E0DF0"/>
    <w:rsid w:val="49787770"/>
    <w:rsid w:val="4C5B0AD4"/>
    <w:rsid w:val="4CE05F99"/>
    <w:rsid w:val="5363E79C"/>
    <w:rsid w:val="578D0DAD"/>
    <w:rsid w:val="5F0815FA"/>
    <w:rsid w:val="604049B4"/>
    <w:rsid w:val="647DD74F"/>
    <w:rsid w:val="6D3BCC60"/>
    <w:rsid w:val="7566E682"/>
    <w:rsid w:val="79DC1B69"/>
    <w:rsid w:val="7FDCB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9B60"/>
  <w15:chartTrackingRefBased/>
  <w15:docId w15:val="{9907A0AD-01A2-4C15-B18A-486E201A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73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DE7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D53"/>
  </w:style>
  <w:style w:type="paragraph" w:styleId="Zpat">
    <w:name w:val="footer"/>
    <w:basedOn w:val="Normln"/>
    <w:link w:val="ZpatChar"/>
    <w:uiPriority w:val="99"/>
    <w:unhideWhenUsed/>
    <w:rsid w:val="00DE7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D53"/>
  </w:style>
  <w:style w:type="character" w:styleId="Hypertextovodkaz">
    <w:name w:val="Hyperlink"/>
    <w:basedOn w:val="Standardnpsmoodstavce"/>
    <w:uiPriority w:val="99"/>
    <w:unhideWhenUsed/>
    <w:rsid w:val="00DE7D5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E7D53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857320"/>
    <w:pPr>
      <w:spacing w:after="0" w:line="240" w:lineRule="auto"/>
    </w:pPr>
  </w:style>
  <w:style w:type="character" w:customStyle="1" w:styleId="CommentReference1">
    <w:name w:val="Comment Reference1"/>
    <w:basedOn w:val="Standardnpsmoodstavce"/>
    <w:uiPriority w:val="99"/>
    <w:semiHidden/>
    <w:unhideWhenUsed/>
    <w:rsid w:val="009F14A6"/>
    <w:rPr>
      <w:sz w:val="16"/>
      <w:szCs w:val="16"/>
    </w:rPr>
  </w:style>
  <w:style w:type="paragraph" w:customStyle="1" w:styleId="CommentText1">
    <w:name w:val="Comment Text1"/>
    <w:basedOn w:val="Normln"/>
    <w:link w:val="CommentTextChar"/>
    <w:uiPriority w:val="99"/>
    <w:unhideWhenUsed/>
    <w:rsid w:val="009F14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rdnpsmoodstavce"/>
    <w:link w:val="CommentText1"/>
    <w:uiPriority w:val="99"/>
    <w:rsid w:val="009F14A6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9F14A6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9F14A6"/>
    <w:rPr>
      <w:b/>
      <w:bCs/>
      <w:sz w:val="20"/>
      <w:szCs w:val="20"/>
    </w:rPr>
  </w:style>
  <w:style w:type="paragraph" w:styleId="Bezmezer">
    <w:name w:val="No Spacing"/>
    <w:uiPriority w:val="1"/>
    <w:qFormat/>
    <w:rsid w:val="00762620"/>
    <w:pPr>
      <w:spacing w:after="0" w:line="240" w:lineRule="auto"/>
    </w:pPr>
  </w:style>
  <w:style w:type="paragraph" w:customStyle="1" w:styleId="CommentText">
    <w:name w:val="Comment Text"/>
    <w:basedOn w:val="Normln"/>
    <w:link w:val="CommentText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Standardnpsmoodstavce"/>
    <w:link w:val="CommentText"/>
    <w:uiPriority w:val="99"/>
    <w:semiHidden/>
    <w:rPr>
      <w:sz w:val="20"/>
      <w:szCs w:val="20"/>
    </w:rPr>
  </w:style>
  <w:style w:type="character" w:customStyle="1" w:styleId="CommentReference">
    <w:name w:val="Comment Reference"/>
    <w:basedOn w:val="Standardnpsmoodstavce"/>
    <w:uiPriority w:val="99"/>
    <w:semiHidden/>
    <w:unhideWhenUsed/>
    <w:rPr>
      <w:sz w:val="16"/>
      <w:szCs w:val="16"/>
    </w:rPr>
  </w:style>
  <w:style w:type="table" w:styleId="Prosttabulka1">
    <w:name w:val="Plain Table 1"/>
    <w:basedOn w:val="TableNormal"/>
    <w:uiPriority w:val="41"/>
    <w:rsid w:val="008C2B57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mmentSubject">
    <w:name w:val="Comment Subject"/>
    <w:basedOn w:val="CommentText"/>
    <w:next w:val="CommentText"/>
    <w:link w:val="CommentSubjectChar1"/>
    <w:uiPriority w:val="99"/>
    <w:semiHidden/>
    <w:unhideWhenUsed/>
    <w:rsid w:val="00303465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03465"/>
    <w:rPr>
      <w:b/>
      <w:bCs/>
      <w:sz w:val="20"/>
      <w:szCs w:val="20"/>
    </w:rPr>
  </w:style>
  <w:style w:type="table" w:styleId="Mkatabulky">
    <w:name w:val="Table Grid"/>
    <w:basedOn w:val="TableNormal"/>
    <w:uiPriority w:val="39"/>
    <w:rsid w:val="00B80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E3C9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296AD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96AD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96AD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6AD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6AD5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191927"/>
    <w:rPr>
      <w:rFonts w:ascii="Times New Roman" w:hAnsi="Times New Roman" w:cs="Times New Roman"/>
      <w:sz w:val="24"/>
      <w:szCs w:val="24"/>
    </w:rPr>
  </w:style>
  <w:style w:type="paragraph" w:customStyle="1" w:styleId="pb-2">
    <w:name w:val="pb-2"/>
    <w:basedOn w:val="Normln"/>
    <w:rsid w:val="00D77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3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1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4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lovekvtisni.cz/index-odpovedneho-uverovani-9433gp?gad_source=1&amp;gad_campaignid=22580904713&amp;gbraid=0AAAAAD10qs_0V_k6_M_5eHU1dv3QFkkjB&amp;gclid=EAIaIQobChMIqsb3teL7kQMV4xCiAx1G2Ax-EAAYASAAEgKLGvD_Bw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aterina.dobesova@homecredit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42073647381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omecredit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03c823-c8e5-4558-a031-867f95ca9115">
      <Terms xmlns="http://schemas.microsoft.com/office/infopath/2007/PartnerControls"/>
    </lcf76f155ced4ddcb4097134ff3c332f>
    <TaxCatchAll xmlns="18c12310-cec0-45af-89e4-4278154c9cc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FF8C7-E1E7-4E0C-98F6-E03FB9F5A2A7}">
  <ds:schemaRefs>
    <ds:schemaRef ds:uri="http://schemas.microsoft.com/office/2006/metadata/properties"/>
    <ds:schemaRef ds:uri="http://schemas.microsoft.com/office/infopath/2007/PartnerControls"/>
    <ds:schemaRef ds:uri="d603c823-c8e5-4558-a031-867f95ca9115"/>
    <ds:schemaRef ds:uri="18c12310-cec0-45af-89e4-4278154c9cc2"/>
  </ds:schemaRefs>
</ds:datastoreItem>
</file>

<file path=customXml/itemProps2.xml><?xml version="1.0" encoding="utf-8"?>
<ds:datastoreItem xmlns:ds="http://schemas.openxmlformats.org/officeDocument/2006/customXml" ds:itemID="{D7E5B727-9155-4A28-A1A0-48A8A0BC34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683F39-EA5C-4CEA-BE76-81F099A4F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351B36-D055-499F-B3D3-4D9427960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1374</Words>
  <Characters>8113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HomeCredit International</Company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Dobešová (CZ)</dc:creator>
  <cp:keywords/>
  <dc:description/>
  <cp:lastModifiedBy>Marie Cimplová | CrestCommunications a.s.</cp:lastModifiedBy>
  <cp:revision>5</cp:revision>
  <dcterms:created xsi:type="dcterms:W3CDTF">2026-09-23T07:49:00Z</dcterms:created>
  <dcterms:modified xsi:type="dcterms:W3CDTF">2026-09-23T08:21:00Z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5356639d,5b5cf6ea,63a32336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Klasifikační stupeň tohoto dokumentu je interní (Internal). Dokument je určen pro zaměstnance nebo spolupracovníky. Byl vytvořen a je vlastněn společností Home Credit a.s. / Home Credit Slovakia, a.s.</vt:lpwstr>
  </property>
  <property fmtid="{D5CDD505-2E9C-101B-9397-08002B2CF9AE}" pid="5" name="MSIP_Label_72c5bbdb-8c63-46a2-a284-b318feb876ca_Enabled">
    <vt:lpwstr>true</vt:lpwstr>
  </property>
  <property fmtid="{D5CDD505-2E9C-101B-9397-08002B2CF9AE}" pid="6" name="MSIP_Label_72c5bbdb-8c63-46a2-a284-b318feb876ca_SetDate">
    <vt:lpwstr>2023-11-10T13:39:48Z</vt:lpwstr>
  </property>
  <property fmtid="{D5CDD505-2E9C-101B-9397-08002B2CF9AE}" pid="7" name="MSIP_Label_72c5bbdb-8c63-46a2-a284-b318feb876ca_Method">
    <vt:lpwstr>Standard</vt:lpwstr>
  </property>
  <property fmtid="{D5CDD505-2E9C-101B-9397-08002B2CF9AE}" pid="8" name="MSIP_Label_72c5bbdb-8c63-46a2-a284-b318feb876ca_Name">
    <vt:lpwstr>Internal</vt:lpwstr>
  </property>
  <property fmtid="{D5CDD505-2E9C-101B-9397-08002B2CF9AE}" pid="9" name="MSIP_Label_72c5bbdb-8c63-46a2-a284-b318feb876ca_SiteId">
    <vt:lpwstr>4dccb863-b9f9-42ff-b199-b749a67a3298</vt:lpwstr>
  </property>
  <property fmtid="{D5CDD505-2E9C-101B-9397-08002B2CF9AE}" pid="10" name="MSIP_Label_72c5bbdb-8c63-46a2-a284-b318feb876ca_ActionId">
    <vt:lpwstr>bf8b1e50-45ed-4a2b-a375-f92792dcfc29</vt:lpwstr>
  </property>
  <property fmtid="{D5CDD505-2E9C-101B-9397-08002B2CF9AE}" pid="11" name="MSIP_Label_72c5bbdb-8c63-46a2-a284-b318feb876ca_ContentBits">
    <vt:lpwstr>2</vt:lpwstr>
  </property>
  <property fmtid="{D5CDD505-2E9C-101B-9397-08002B2CF9AE}" pid="12" name="ContentTypeId">
    <vt:lpwstr>0x010100D037425BC85BAC47A18BE758018E6255</vt:lpwstr>
  </property>
  <property fmtid="{D5CDD505-2E9C-101B-9397-08002B2CF9AE}" pid="13" name="MediaServiceImageTags">
    <vt:lpwstr/>
  </property>
  <property fmtid="{D5CDD505-2E9C-101B-9397-08002B2CF9AE}" pid="14" name="docLang">
    <vt:lpwstr>cs</vt:lpwstr>
  </property>
</Properties>
</file>